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8E9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32"/>
          <w:szCs w:val="32"/>
          <w:shd w:val="clear" w:fill="FFFFFF"/>
          <w:lang w:eastAsia="zh-CN"/>
        </w:rPr>
      </w:pPr>
      <w:r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32"/>
          <w:szCs w:val="32"/>
          <w:shd w:val="clear" w:fill="FFFFFF"/>
          <w:lang w:eastAsia="zh-CN"/>
        </w:rPr>
        <w:t>附件：</w:t>
      </w:r>
    </w:p>
    <w:p w14:paraId="43D79E2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</w:rPr>
      </w:pPr>
      <w:r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</w:rPr>
        <w:t>内江市疾病预防控制中心</w:t>
      </w:r>
    </w:p>
    <w:p w14:paraId="71E0FC0E">
      <w:pPr>
        <w:pStyle w:val="2"/>
        <w:jc w:val="center"/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  <w:lang w:val="en-US" w:eastAsia="zh-CN"/>
        </w:rPr>
      </w:pPr>
      <w:r>
        <w:rPr>
          <w:rStyle w:val="13"/>
          <w:rFonts w:hint="default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</w:rPr>
        <w:t>桶装</w:t>
      </w:r>
      <w:r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  <w:lang w:eastAsia="zh-CN"/>
        </w:rPr>
        <w:t>饮用</w:t>
      </w:r>
      <w:r>
        <w:rPr>
          <w:rStyle w:val="13"/>
          <w:rFonts w:hint="default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</w:rPr>
        <w:t>水配送服务</w:t>
      </w:r>
      <w:r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  <w:lang w:val="en-US" w:eastAsia="zh-CN"/>
        </w:rPr>
        <w:t>评分及要求</w:t>
      </w:r>
    </w:p>
    <w:p w14:paraId="52E10D8A">
      <w:pPr>
        <w:pStyle w:val="3"/>
        <w:rPr>
          <w:rStyle w:val="13"/>
          <w:rFonts w:hint="eastAsia" w:ascii="方正小标宋" w:hAnsi="方正小标宋" w:eastAsia="方正小标宋" w:cs="方正小标宋"/>
          <w:b/>
          <w:i w:val="0"/>
          <w:iCs w:val="0"/>
          <w:caps w:val="0"/>
          <w:color w:val="272727"/>
          <w:spacing w:val="0"/>
          <w:sz w:val="43"/>
          <w:szCs w:val="43"/>
          <w:shd w:val="clear" w:fill="FFFFFF"/>
          <w:lang w:val="en-US" w:eastAsia="zh-CN"/>
        </w:rPr>
      </w:pPr>
    </w:p>
    <w:p w14:paraId="2EFDBA21">
      <w:pPr>
        <w:pStyle w:val="2"/>
        <w:rPr>
          <w:rFonts w:hint="default"/>
        </w:rPr>
      </w:pPr>
    </w:p>
    <w:p w14:paraId="386AA51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</w:pP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一、综合评分明细表</w:t>
      </w:r>
    </w:p>
    <w:tbl>
      <w:tblPr>
        <w:tblStyle w:val="11"/>
        <w:tblW w:w="91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119"/>
        <w:gridCol w:w="866"/>
        <w:gridCol w:w="3833"/>
        <w:gridCol w:w="2776"/>
      </w:tblGrid>
      <w:tr w14:paraId="7862A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noWrap w:val="0"/>
            <w:vAlign w:val="center"/>
          </w:tcPr>
          <w:p w14:paraId="7FEA2902">
            <w:pPr>
              <w:jc w:val="center"/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序号</w:t>
            </w:r>
          </w:p>
        </w:tc>
        <w:tc>
          <w:tcPr>
            <w:tcW w:w="1119" w:type="dxa"/>
            <w:noWrap w:val="0"/>
            <w:vAlign w:val="center"/>
          </w:tcPr>
          <w:p w14:paraId="37B5D13F">
            <w:pPr>
              <w:jc w:val="center"/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评分因素及权重</w:t>
            </w:r>
          </w:p>
        </w:tc>
        <w:tc>
          <w:tcPr>
            <w:tcW w:w="866" w:type="dxa"/>
            <w:noWrap w:val="0"/>
            <w:vAlign w:val="center"/>
          </w:tcPr>
          <w:p w14:paraId="22881A0B">
            <w:pPr>
              <w:jc w:val="center"/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分值</w:t>
            </w:r>
          </w:p>
        </w:tc>
        <w:tc>
          <w:tcPr>
            <w:tcW w:w="3833" w:type="dxa"/>
            <w:noWrap w:val="0"/>
            <w:vAlign w:val="center"/>
          </w:tcPr>
          <w:p w14:paraId="32DC2194">
            <w:pPr>
              <w:jc w:val="center"/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评分标准</w:t>
            </w:r>
          </w:p>
        </w:tc>
        <w:tc>
          <w:tcPr>
            <w:tcW w:w="2776" w:type="dxa"/>
            <w:noWrap w:val="0"/>
            <w:vAlign w:val="center"/>
          </w:tcPr>
          <w:p w14:paraId="259A7B05">
            <w:pPr>
              <w:jc w:val="center"/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说明</w:t>
            </w:r>
          </w:p>
        </w:tc>
      </w:tr>
      <w:tr w14:paraId="7103C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noWrap w:val="0"/>
            <w:vAlign w:val="center"/>
          </w:tcPr>
          <w:p w14:paraId="09CB5A55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1</w:t>
            </w:r>
          </w:p>
        </w:tc>
        <w:tc>
          <w:tcPr>
            <w:tcW w:w="1119" w:type="dxa"/>
            <w:noWrap w:val="0"/>
            <w:vAlign w:val="center"/>
          </w:tcPr>
          <w:p w14:paraId="28CD20CE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报价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 w:eastAsiaTheme="majorEastAsia"/>
              </w:rPr>
              <w:t>%</w:t>
            </w:r>
          </w:p>
        </w:tc>
        <w:tc>
          <w:tcPr>
            <w:tcW w:w="866" w:type="dxa"/>
            <w:noWrap w:val="0"/>
            <w:vAlign w:val="center"/>
          </w:tcPr>
          <w:p w14:paraId="2C3CC743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 w:eastAsiaTheme="majorEastAsia"/>
              </w:rPr>
              <w:t>分</w:t>
            </w:r>
          </w:p>
        </w:tc>
        <w:tc>
          <w:tcPr>
            <w:tcW w:w="3833" w:type="dxa"/>
            <w:noWrap w:val="0"/>
            <w:vAlign w:val="center"/>
          </w:tcPr>
          <w:p w14:paraId="2AF3DAAC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综合评分法中的价格分统一采用低价优先法计算，即满足磋商文件要求且采购项目内容及要求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中1、2的磋商报价相加的最低价</w:t>
            </w:r>
            <w:r>
              <w:rPr>
                <w:rFonts w:hint="default" w:ascii="Times New Roman" w:hAnsi="Times New Roman" w:cs="Times New Roman" w:eastAsiaTheme="majorEastAsia"/>
              </w:rPr>
              <w:t>为评审基准价，其价格分为满分。其他供应商的价格分统一按照下列公式计算：</w:t>
            </w:r>
          </w:p>
          <w:p w14:paraId="750E390D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磋商报价得分=(磋商基准价／最后磋商报价)×100×价格权值</w:t>
            </w:r>
          </w:p>
        </w:tc>
        <w:tc>
          <w:tcPr>
            <w:tcW w:w="2776" w:type="dxa"/>
            <w:noWrap w:val="0"/>
            <w:vAlign w:val="center"/>
          </w:tcPr>
          <w:p w14:paraId="78BE51C0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/</w:t>
            </w:r>
          </w:p>
        </w:tc>
      </w:tr>
      <w:tr w14:paraId="1A7146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noWrap w:val="0"/>
            <w:vAlign w:val="center"/>
          </w:tcPr>
          <w:p w14:paraId="65CEBC9A">
            <w:pPr>
              <w:rPr>
                <w:rFonts w:hint="eastAsia" w:ascii="Times New Roman" w:hAnsi="Times New Roman" w:cs="Times New Roman" w:eastAsiaTheme="majorEastAsia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</w:t>
            </w:r>
          </w:p>
        </w:tc>
        <w:tc>
          <w:tcPr>
            <w:tcW w:w="1119" w:type="dxa"/>
            <w:noWrap w:val="0"/>
            <w:vAlign w:val="center"/>
          </w:tcPr>
          <w:p w14:paraId="76AF539C">
            <w:pPr>
              <w:rPr>
                <w:rFonts w:hint="default" w:ascii="Times New Roman" w:hAnsi="Times New Roman" w:cs="Times New Roman" w:eastAsiaTheme="majorEastAsia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产品质量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要求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%</w:t>
            </w:r>
          </w:p>
        </w:tc>
        <w:tc>
          <w:tcPr>
            <w:tcW w:w="866" w:type="dxa"/>
            <w:noWrap w:val="0"/>
            <w:vAlign w:val="center"/>
          </w:tcPr>
          <w:p w14:paraId="4CCDEE1A">
            <w:pPr>
              <w:rPr>
                <w:rFonts w:hint="default" w:ascii="Times New Roman" w:hAnsi="Times New Roman" w:cs="Times New Roman" w:eastAsiaTheme="majorEastAsia"/>
                <w:lang w:val="en-US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分</w:t>
            </w:r>
          </w:p>
        </w:tc>
        <w:tc>
          <w:tcPr>
            <w:tcW w:w="3833" w:type="dxa"/>
            <w:noWrap w:val="0"/>
            <w:vAlign w:val="center"/>
          </w:tcPr>
          <w:p w14:paraId="75D42169"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 w:eastAsiaTheme="maj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highlight w:val="none"/>
                <w:lang w:val="en-US" w:eastAsia="zh-CN"/>
              </w:rPr>
              <w:t>投标产品具有《CQC质量管理体系认证证书》或《HACCP认证证书》或《ISO22000食品安全管理体系认证证书》得10分；</w:t>
            </w:r>
          </w:p>
          <w:p w14:paraId="5424BCD7">
            <w:pPr>
              <w:pStyle w:val="2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投标产品具有《饮用天然矿泉水鉴定证书》得5分；</w:t>
            </w:r>
          </w:p>
          <w:p w14:paraId="70676A73"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aj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highlight w:val="none"/>
                <w:lang w:val="en-US" w:eastAsia="zh-CN"/>
              </w:rPr>
              <w:t>2.投标人具有AAA级质量服务信誉证书的得10分；</w:t>
            </w:r>
          </w:p>
          <w:p w14:paraId="7CA917A6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aj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highlight w:val="none"/>
                <w:lang w:val="en-US" w:eastAsia="zh-CN"/>
              </w:rPr>
              <w:t>注：需提供有效的证书复印件并加盖公章，否则不得分。</w:t>
            </w:r>
          </w:p>
        </w:tc>
        <w:tc>
          <w:tcPr>
            <w:tcW w:w="2776" w:type="dxa"/>
            <w:noWrap w:val="0"/>
            <w:vAlign w:val="center"/>
          </w:tcPr>
          <w:p w14:paraId="7DD22524">
            <w:pPr>
              <w:rPr>
                <w:rFonts w:hint="default" w:ascii="Times New Roman" w:hAnsi="Times New Roman" w:cs="Times New Roman" w:eastAsiaTheme="majorEastAsia"/>
                <w:highlight w:val="none"/>
                <w:lang w:val="en-US" w:eastAsia="zh-CN"/>
              </w:rPr>
            </w:pPr>
          </w:p>
        </w:tc>
      </w:tr>
      <w:tr w14:paraId="14E55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noWrap w:val="0"/>
            <w:vAlign w:val="center"/>
          </w:tcPr>
          <w:p w14:paraId="6E4F1340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3</w:t>
            </w:r>
          </w:p>
        </w:tc>
        <w:tc>
          <w:tcPr>
            <w:tcW w:w="1119" w:type="dxa"/>
            <w:noWrap w:val="0"/>
            <w:vAlign w:val="center"/>
          </w:tcPr>
          <w:p w14:paraId="775A6F79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应急处理方案15%</w:t>
            </w:r>
          </w:p>
        </w:tc>
        <w:tc>
          <w:tcPr>
            <w:tcW w:w="866" w:type="dxa"/>
            <w:noWrap w:val="0"/>
            <w:vAlign w:val="center"/>
          </w:tcPr>
          <w:p w14:paraId="2FE324D2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15分</w:t>
            </w:r>
          </w:p>
        </w:tc>
        <w:tc>
          <w:tcPr>
            <w:tcW w:w="3833" w:type="dxa"/>
            <w:noWrap w:val="0"/>
            <w:vAlign w:val="center"/>
          </w:tcPr>
          <w:p w14:paraId="24B56897"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根据供应商提供的应急方案进行综合评分，应急方案内容包含但不限于：①物品配送运输途中遭遇不可抗力情况；②运输车辆途中抛锚应急预案；③货损、货差应急预案等。</w:t>
            </w:r>
          </w:p>
          <w:p w14:paraId="64F03B7E"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方案内容完全满足项目要求并且详细、切实可行的得15分，每缺一项扣5分；每有一项有缺陷（缺陷是指方案存在不适用项目实际情况的情形、套用其它方案、凭空编造、逻辑漏洞、科学原理错误、不可能实现的夸大情形、内容过于简单、无实质性内容等情况）扣1分，直至本项分值扣完为止。</w:t>
            </w:r>
          </w:p>
          <w:p w14:paraId="48AA875E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1C1534E7">
            <w:pPr>
              <w:rPr>
                <w:rFonts w:hint="default" w:ascii="Times New Roman" w:hAnsi="Times New Roman" w:cs="Times New Roman" w:eastAsiaTheme="majorEastAsia"/>
                <w:lang w:val="zh-CN" w:eastAsia="zh-CN"/>
              </w:rPr>
            </w:pPr>
          </w:p>
        </w:tc>
      </w:tr>
      <w:tr w14:paraId="7AFA4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noWrap w:val="0"/>
            <w:vAlign w:val="center"/>
          </w:tcPr>
          <w:p w14:paraId="5A4B7407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4</w:t>
            </w:r>
          </w:p>
        </w:tc>
        <w:tc>
          <w:tcPr>
            <w:tcW w:w="1119" w:type="dxa"/>
            <w:noWrap w:val="0"/>
            <w:vAlign w:val="center"/>
          </w:tcPr>
          <w:p w14:paraId="071D555A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履约能力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ajorEastAsia"/>
              </w:rPr>
              <w:t>%</w:t>
            </w:r>
          </w:p>
        </w:tc>
        <w:tc>
          <w:tcPr>
            <w:tcW w:w="866" w:type="dxa"/>
            <w:noWrap w:val="0"/>
            <w:vAlign w:val="center"/>
          </w:tcPr>
          <w:p w14:paraId="3FCB891D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ajorEastAsia"/>
                <w:lang w:val="en-US" w:eastAsia="zh-CN"/>
              </w:rPr>
              <w:t>分</w:t>
            </w:r>
          </w:p>
        </w:tc>
        <w:tc>
          <w:tcPr>
            <w:tcW w:w="3833" w:type="dxa"/>
            <w:noWrap w:val="0"/>
            <w:vAlign w:val="center"/>
          </w:tcPr>
          <w:p w14:paraId="4F216045">
            <w:pPr>
              <w:numPr>
                <w:ilvl w:val="0"/>
                <w:numId w:val="2"/>
              </w:numPr>
              <w:rPr>
                <w:rFonts w:hint="eastAsia" w:ascii="Times New Roman" w:hAnsi="Times New Roman" w:cs="Times New Roman" w:eastAsiaTheme="maj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lang w:val="en-US" w:eastAsia="zh-CN"/>
              </w:rPr>
              <w:t>供应商自2021年1月1日（含）以来具有类似项目业绩（类似项目业绩是指桶装饮用水配送服务）的，每有一个得2分，本项最高得10分。</w:t>
            </w:r>
          </w:p>
          <w:p w14:paraId="48523E68">
            <w:pPr>
              <w:pStyle w:val="2"/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为本项目配置2台配送车辆（提供车辆购买证明或有效期内的租用证明）和2名具有健康证的配送人员定点服务（中标后合同签订前提供人员健康证供采购人查验），本项得4分。每增加1辆车或1名配送员增加2分，最高得分10分。</w:t>
            </w:r>
          </w:p>
          <w:p w14:paraId="25423B7B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注：提供中标（成交）通知书或合同复印件并加盖供应商鲜章。</w:t>
            </w:r>
          </w:p>
        </w:tc>
        <w:tc>
          <w:tcPr>
            <w:tcW w:w="2776" w:type="dxa"/>
            <w:noWrap w:val="0"/>
            <w:vAlign w:val="center"/>
          </w:tcPr>
          <w:p w14:paraId="55142AEE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</w:p>
        </w:tc>
      </w:tr>
      <w:tr w14:paraId="6FE3F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2" w:type="dxa"/>
            <w:noWrap w:val="0"/>
            <w:vAlign w:val="center"/>
          </w:tcPr>
          <w:p w14:paraId="3042FB6E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5</w:t>
            </w:r>
          </w:p>
        </w:tc>
        <w:tc>
          <w:tcPr>
            <w:tcW w:w="1119" w:type="dxa"/>
            <w:noWrap w:val="0"/>
            <w:vAlign w:val="center"/>
          </w:tcPr>
          <w:p w14:paraId="075B43DE">
            <w:pPr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 xml:space="preserve">实施方案及质量保证措施16% </w:t>
            </w:r>
          </w:p>
        </w:tc>
        <w:tc>
          <w:tcPr>
            <w:tcW w:w="866" w:type="dxa"/>
            <w:noWrap w:val="0"/>
            <w:vAlign w:val="center"/>
          </w:tcPr>
          <w:p w14:paraId="0DE59B43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16</w:t>
            </w:r>
          </w:p>
        </w:tc>
        <w:tc>
          <w:tcPr>
            <w:tcW w:w="3833" w:type="dxa"/>
            <w:noWrap w:val="0"/>
            <w:vAlign w:val="center"/>
          </w:tcPr>
          <w:p w14:paraId="539C79AB">
            <w:pPr>
              <w:rPr>
                <w:rFonts w:hint="eastAsia"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 w:eastAsiaTheme="majorEastAsia"/>
              </w:rPr>
              <w:t>根据供应商提供的配送服务方案进行综合评分，配送服务方案内容包含但不限于：①配送产品的存储、现场交接；②配送车辆的安排；③配送及时性保证措施；④配送安全保障措施等。</w:t>
            </w:r>
          </w:p>
          <w:p w14:paraId="1050297F"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2.根据供应商提供的质量保障措施进行综合评分，质量保障措施内容包含但不限于：①风险防控制度；②质量管控措施；③食品安全管理制度；④检测检验措施等。</w:t>
            </w:r>
          </w:p>
          <w:p w14:paraId="04E0B293"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方案内容完全满足项目要求并且详细、切实可行的得16分，每缺一项扣2分；每有一项有缺陷（缺陷是指方案存在不适用项目实际情况的情形、套用其它方案、凭空编造、逻辑漏洞、科学原理错误、不可能实现的夸大情形、内容过于简单、无实质性内容等情况）扣1分，直至本项分值扣完为止</w:t>
            </w:r>
          </w:p>
          <w:p w14:paraId="6DDBE316"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 w:eastAsiaTheme="majorEastAsia"/>
                <w:lang w:val="en-US" w:eastAsia="zh-CN"/>
              </w:rPr>
            </w:pPr>
          </w:p>
        </w:tc>
        <w:tc>
          <w:tcPr>
            <w:tcW w:w="2776" w:type="dxa"/>
            <w:noWrap w:val="0"/>
            <w:vAlign w:val="center"/>
          </w:tcPr>
          <w:p w14:paraId="46C8D09E">
            <w:pPr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</w:p>
        </w:tc>
      </w:tr>
    </w:tbl>
    <w:p w14:paraId="64288B4E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注：1.评审时，评审委员会各成员应当独立对每个供应商的响应文件进行评价，并汇总每个供应商的得分。</w:t>
      </w:r>
    </w:p>
    <w:p w14:paraId="1BF5A52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645" w:leftChars="0"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2.评分的取值按四舍五入法，保留小数点后两位。</w:t>
      </w:r>
    </w:p>
    <w:p w14:paraId="76A268C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、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商务要求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实质性要求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）</w:t>
      </w:r>
    </w:p>
    <w:p w14:paraId="3C6EF534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  <w:t>采购期限及付款方式：自合同签订之日起一年，按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季度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  <w:t>据实结算。</w:t>
      </w:r>
    </w:p>
    <w:p w14:paraId="3004F17F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服务期限：三年，合同一年一签。每年合同到期前将对服务质量进行满意度测评，满意度测评达到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90%以上续签下一年度合同。</w:t>
      </w:r>
    </w:p>
    <w:p w14:paraId="0DCAB6F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.配送要求：供应商在收到采购人配送通知后2小时内完成日常配送工作。若遇特殊情况不能按时配送的，成交供应商需经采购人同意后方可延期配送（供应商需提供承诺函格式自拟并加盖供应商公章）。</w:t>
      </w:r>
    </w:p>
    <w:p w14:paraId="26137C9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.供应商负责合同履行期间的配送人员一切安全事故责任及费用，采购人不承担任何责任及费用（供应商需提供承诺函格式自拟并加盖供应商公章）。</w:t>
      </w:r>
      <w:bookmarkStart w:id="0" w:name="_GoBack"/>
      <w:bookmarkEnd w:id="0"/>
    </w:p>
    <w:p w14:paraId="091D0E5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.供应商负责项目所需产品的运输、配送、桶装水安装等工作，以上费用由供应商承担（供应商需提供承诺函格式自拟并加盖供应商公章）。</w:t>
      </w:r>
    </w:p>
    <w:p w14:paraId="409A44C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.供应商所供产品应为最近生产日期，桶装水送达时间为生产日期2个月内。</w:t>
      </w:r>
    </w:p>
    <w:p w14:paraId="05F7F07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.供应商所配送的产品若因质量问题发生食品安全事故，由供应商赔偿由此发生的一切经济损失并承担法律责任；触犯相关法律法规的将依法追究相关责任单位及责任人的法律责任（供应商需提供承诺函格式自拟并加盖供应商公章）。</w:t>
      </w:r>
    </w:p>
    <w:p w14:paraId="664F999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.供应商需根据采购人要求免费提供基础款饮水机,并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每半年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对所提供的饮水机进行清洗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进行文本记录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。</w:t>
      </w:r>
    </w:p>
    <w:p w14:paraId="09C3600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lang w:eastAsia="zh-CN"/>
        </w:rPr>
      </w:pP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三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、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响应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文件要求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实质性要求</w:t>
      </w: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）</w:t>
      </w:r>
    </w:p>
    <w:p w14:paraId="13C571E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1．供应商报送的竞选资料、项目报价表须加盖公章，并加盖骑缝章，否则视为无效竞选。</w:t>
      </w:r>
    </w:p>
    <w:p w14:paraId="122C27A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2．竞选文件包括但不限于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采购公告中二、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供应商资格要求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经办人委托书、经办人身份证复印件、营业执照等，须加盖竞选供应商鲜章。</w:t>
      </w:r>
    </w:p>
    <w:p w14:paraId="0F49FF0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．供应商须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按</w:t>
      </w:r>
      <m:oMath>
        <m:r>
          <m:rPr>
            <m:sty m:val="p"/>
          </m:rPr>
          <w:rPr>
            <w:rFonts w:hint="eastAsia" w:ascii="Cambria Math" w:hAnsi="Cambria Math" w:eastAsia="仿宋" w:cs="仿宋"/>
            <w:caps w:val="0"/>
            <w:color w:val="272727"/>
            <w:spacing w:val="0"/>
            <w:kern w:val="0"/>
            <w:sz w:val="30"/>
            <w:szCs w:val="30"/>
            <w:shd w:val="clear" w:fill="FFFFFF"/>
            <w:lang w:val="en-US" w:eastAsia="zh-CN" w:bidi="ar"/>
          </w:rPr>
          <m:t>采购文件二、商务要求</m:t>
        </m:r>
      </m:oMath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提供服务承诺函。</w:t>
      </w:r>
    </w:p>
    <w:p w14:paraId="4B41E3F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．竞选所报价格必须包括此次购买的产品费用以及包装费、人工费、运输费、税金等全部费用。</w:t>
      </w:r>
    </w:p>
    <w:p w14:paraId="221F8A9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．供应商需提供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纯净水及饮用天然矿泉水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近一年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内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的检测报告或者相应产品的包装图。</w:t>
      </w:r>
    </w:p>
    <w:p w14:paraId="2E34382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72727"/>
          <w:spacing w:val="0"/>
          <w:sz w:val="30"/>
          <w:szCs w:val="30"/>
          <w:shd w:val="clear" w:fill="FFFFFF"/>
        </w:rPr>
        <w:t>．所有竞选文件（包括报价单）必须密封并在封口处加盖骑缝章，不接受未按要求密封的竞选资料。竞选资料必须齐全，复印件须加盖竞选供应商鲜章。</w:t>
      </w:r>
    </w:p>
    <w:p w14:paraId="2F2E71CD">
      <w:pP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6BB2F1C6">
      <w:pPr>
        <w:pStyle w:val="2"/>
        <w:rPr>
          <w:rFonts w:hint="default" w:ascii="Times New Roman" w:hAnsi="Times New Roman" w:cs="Times New Roman"/>
          <w:sz w:val="24"/>
          <w:szCs w:val="24"/>
        </w:rPr>
      </w:pPr>
    </w:p>
    <w:p w14:paraId="1017E2DC"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E37433"/>
    <w:multiLevelType w:val="singleLevel"/>
    <w:tmpl w:val="F2E3743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767935"/>
    <w:multiLevelType w:val="singleLevel"/>
    <w:tmpl w:val="677679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ZWQzOWY4MDBkZTM2ODUyOWY3YzIyODVjYzcxODcifQ=="/>
  </w:docVars>
  <w:rsids>
    <w:rsidRoot w:val="024303A0"/>
    <w:rsid w:val="024303A0"/>
    <w:rsid w:val="03201E49"/>
    <w:rsid w:val="08420CAE"/>
    <w:rsid w:val="09A246E7"/>
    <w:rsid w:val="11C42733"/>
    <w:rsid w:val="14253235"/>
    <w:rsid w:val="171A486C"/>
    <w:rsid w:val="198D3D53"/>
    <w:rsid w:val="26D33BA5"/>
    <w:rsid w:val="44F570EB"/>
    <w:rsid w:val="516B497C"/>
    <w:rsid w:val="58B41275"/>
    <w:rsid w:val="5A8A1AF9"/>
    <w:rsid w:val="761B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120" w:after="120" w:line="240" w:lineRule="auto"/>
      <w:jc w:val="center"/>
      <w:outlineLvl w:val="1"/>
    </w:pPr>
    <w:rPr>
      <w:rFonts w:hAnsi="Arial"/>
      <w:b/>
      <w:bCs/>
      <w:sz w:val="32"/>
      <w:szCs w:val="32"/>
    </w:rPr>
  </w:style>
  <w:style w:type="paragraph" w:styleId="8">
    <w:name w:val="heading 3"/>
    <w:basedOn w:val="1"/>
    <w:next w:val="1"/>
    <w:qFormat/>
    <w:uiPriority w:val="0"/>
    <w:pPr>
      <w:keepNext/>
      <w:keepLines/>
      <w:spacing w:before="120" w:after="120" w:line="240" w:lineRule="auto"/>
      <w:ind w:left="200" w:leftChars="200"/>
      <w:outlineLvl w:val="2"/>
    </w:pPr>
    <w:rPr>
      <w:b/>
      <w:bCs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 2"/>
    <w:basedOn w:val="4"/>
    <w:next w:val="2"/>
    <w:unhideWhenUsed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1879</Words>
  <Characters>1939</Characters>
  <Lines>0</Lines>
  <Paragraphs>0</Paragraphs>
  <TotalTime>67</TotalTime>
  <ScaleCrop>false</ScaleCrop>
  <LinksUpToDate>false</LinksUpToDate>
  <CharactersWithSpaces>1940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2024-03-28T08:24:00Z</dcterms:created>
  <dc:creator>Administrator</dc:creator>
  <cp:lastModifiedBy>殷浩然</cp:lastModifiedBy>
  <dcterms:modified xsi:type="dcterms:W3CDTF">2024-11-04T07:04:45Z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F35E0500A1DC475C99C65C0A68DAF4C1_11</vt:lpwstr>
  </property>
</Properties>
</file>