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9"/>
        <w:rPr>
          <w:rFonts w:ascii="方正小标宋简体" w:hAnsi="宋体" w:eastAsia="方正小标宋简体"/>
          <w:sz w:val="72"/>
          <w:szCs w:val="72"/>
        </w:rPr>
      </w:pPr>
      <w:bookmarkStart w:id="0" w:name="_Toc15306267"/>
    </w:p>
    <w:p>
      <w:pPr>
        <w:spacing w:line="600" w:lineRule="exact"/>
        <w:jc w:val="center"/>
        <w:outlineLvl w:val="9"/>
        <w:rPr>
          <w:rFonts w:ascii="方正小标宋简体" w:hAnsi="宋体" w:eastAsia="方正小标宋简体"/>
          <w:sz w:val="72"/>
          <w:szCs w:val="72"/>
        </w:rPr>
      </w:pPr>
    </w:p>
    <w:p>
      <w:pPr>
        <w:spacing w:line="600" w:lineRule="exact"/>
        <w:jc w:val="center"/>
        <w:outlineLvl w:val="9"/>
        <w:rPr>
          <w:rFonts w:ascii="方正小标宋简体" w:hAnsi="宋体" w:eastAsia="方正小标宋简体"/>
          <w:sz w:val="72"/>
          <w:szCs w:val="72"/>
        </w:rPr>
      </w:pPr>
    </w:p>
    <w:p>
      <w:pPr>
        <w:spacing w:line="600" w:lineRule="exact"/>
        <w:jc w:val="center"/>
        <w:outlineLvl w:val="9"/>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78441"/>
      <w:bookmarkStart w:id="2" w:name="_Toc15396475"/>
      <w:bookmarkStart w:id="3" w:name="_Toc15377425"/>
      <w:bookmarkStart w:id="4" w:name="_Toc15377193"/>
      <w:bookmarkStart w:id="5" w:name="_Toc15396597"/>
      <w:bookmarkStart w:id="6" w:name="_Toc114325685"/>
      <w:bookmarkStart w:id="7" w:name="_Toc4120"/>
      <w:r>
        <w:rPr>
          <w:rFonts w:hint="eastAsia" w:ascii="方正小标宋简体" w:hAnsi="方正小标宋简体" w:eastAsia="方正小标宋简体" w:cs="方正小标宋简体"/>
          <w:sz w:val="72"/>
          <w:szCs w:val="72"/>
        </w:rPr>
        <w:t>2021年度</w:t>
      </w:r>
      <w:bookmarkEnd w:id="1"/>
      <w:bookmarkEnd w:id="2"/>
      <w:bookmarkEnd w:id="3"/>
      <w:bookmarkEnd w:id="4"/>
      <w:bookmarkEnd w:id="5"/>
      <w:bookmarkStart w:id="8" w:name="_Toc15396598"/>
      <w:bookmarkStart w:id="9" w:name="_Toc15396476"/>
      <w:bookmarkStart w:id="10" w:name="_Toc15378442"/>
      <w:bookmarkStart w:id="11" w:name="_Toc15377426"/>
      <w:bookmarkStart w:id="12" w:name="_Toc15377194"/>
      <w:r>
        <w:rPr>
          <w:rFonts w:hint="eastAsia" w:ascii="方正小标宋简体" w:hAnsi="方正小标宋简体" w:eastAsia="方正小标宋简体" w:cs="方正小标宋简体"/>
          <w:sz w:val="72"/>
          <w:szCs w:val="72"/>
        </w:rPr>
        <w:t>四川省</w:t>
      </w:r>
      <w:bookmarkEnd w:id="0"/>
      <w:bookmarkEnd w:id="6"/>
      <w:bookmarkEnd w:id="7"/>
      <w:bookmarkStart w:id="13" w:name="_Toc15306268"/>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4" w:name="_Toc114325686"/>
      <w:bookmarkStart w:id="15" w:name="_Toc22621"/>
      <w:r>
        <w:rPr>
          <w:rFonts w:hint="eastAsia" w:ascii="方正小标宋简体" w:hAnsi="方正小标宋简体" w:eastAsia="方正小标宋简体" w:cs="方正小标宋简体"/>
          <w:sz w:val="72"/>
          <w:szCs w:val="72"/>
        </w:rPr>
        <w:t>内江市疾病预防控制中心单位决算</w:t>
      </w:r>
      <w:bookmarkEnd w:id="8"/>
      <w:bookmarkEnd w:id="9"/>
      <w:bookmarkEnd w:id="10"/>
      <w:bookmarkEnd w:id="11"/>
      <w:bookmarkEnd w:id="12"/>
      <w:bookmarkEnd w:id="13"/>
      <w:bookmarkEnd w:id="14"/>
      <w:bookmarkEnd w:id="15"/>
    </w:p>
    <w:p>
      <w:pPr>
        <w:widowControl/>
        <w:jc w:val="center"/>
        <w:rPr>
          <w:rFonts w:ascii="黑体" w:hAnsi="黑体" w:eastAsia="黑体" w:cstheme="minorBidi"/>
          <w:sz w:val="28"/>
          <w:szCs w:val="28"/>
        </w:rPr>
      </w:pPr>
      <w:r>
        <w:rPr>
          <w:rFonts w:ascii="方正小标宋简体" w:hAnsi="宋体" w:eastAsia="方正小标宋简体"/>
          <w:sz w:val="36"/>
          <w:szCs w:val="36"/>
        </w:rPr>
        <w:br w:type="page"/>
      </w:r>
      <w:r>
        <w:rPr>
          <w:rFonts w:hint="eastAsia" w:ascii="黑体" w:hAnsi="黑体" w:eastAsia="黑体"/>
          <w:sz w:val="48"/>
          <w:szCs w:val="48"/>
        </w:rPr>
        <w:t>目录</w:t>
      </w:r>
    </w:p>
    <w:p>
      <w:pPr>
        <w:pStyle w:val="10"/>
      </w:pPr>
      <w:r>
        <w:rPr>
          <w:rFonts w:hint="eastAsia"/>
        </w:rPr>
        <w:t>公开时间：2022年</w:t>
      </w:r>
      <w:r>
        <w:rPr>
          <w:rFonts w:hint="eastAsia"/>
          <w:lang w:val="en-US" w:eastAsia="zh-CN"/>
        </w:rPr>
        <w:t>10</w:t>
      </w:r>
      <w:r>
        <w:rPr>
          <w:rFonts w:hint="eastAsia"/>
        </w:rPr>
        <w:t>月9日</w:t>
      </w:r>
    </w:p>
    <w:sdt>
      <w:sdtPr>
        <w:rPr>
          <w:rFonts w:ascii="宋体" w:hAnsi="宋体" w:eastAsia="宋体" w:cs="Times New Roman"/>
          <w:kern w:val="2"/>
          <w:sz w:val="21"/>
          <w:szCs w:val="24"/>
          <w:lang w:val="en-US" w:eastAsia="zh-CN" w:bidi="ar-SA"/>
        </w:rPr>
        <w:id w:val="147466905"/>
        <w15:color w:val="DBDBDB"/>
        <w:docPartObj>
          <w:docPartGallery w:val="Table of Contents"/>
          <w:docPartUnique/>
        </w:docPartObj>
      </w:sdtPr>
      <w:sdtEndPr>
        <w:rPr>
          <w:rFonts w:ascii="仿宋" w:hAnsi="仿宋" w:eastAsia="仿宋" w:cs="Times New Roman"/>
          <w:b/>
          <w:kern w:val="2"/>
          <w:sz w:val="21"/>
          <w:szCs w:val="24"/>
          <w:lang w:val="en-US" w:eastAsia="zh-CN" w:bidi="ar-SA"/>
        </w:rPr>
      </w:sdtEndPr>
      <w:sdtContent>
        <w:p>
          <w:pPr>
            <w:spacing w:before="0" w:beforeLines="0" w:after="0" w:afterLines="0" w:line="240" w:lineRule="auto"/>
            <w:ind w:left="0" w:leftChars="0" w:right="0" w:rightChars="0" w:firstLine="0" w:firstLineChars="0"/>
            <w:jc w:val="center"/>
            <w:rPr>
              <w:b/>
            </w:rPr>
          </w:pPr>
          <w:r>
            <w:rPr>
              <w:rFonts w:ascii="仿宋" w:hAnsi="仿宋" w:eastAsia="仿宋"/>
              <w:sz w:val="24"/>
            </w:rPr>
            <w:fldChar w:fldCharType="begin"/>
          </w:r>
          <w:r>
            <w:rPr>
              <w:rFonts w:ascii="仿宋" w:hAnsi="仿宋" w:eastAsia="仿宋"/>
              <w:sz w:val="24"/>
            </w:rPr>
            <w:instrText xml:space="preserve">TOC \o "1-2" \h \u </w:instrText>
          </w:r>
          <w:r>
            <w:rPr>
              <w:rFonts w:ascii="仿宋" w:hAnsi="仿宋" w:eastAsia="仿宋"/>
              <w:sz w:val="24"/>
            </w:rPr>
            <w:fldChar w:fldCharType="separate"/>
          </w:r>
        </w:p>
        <w:p>
          <w:pPr>
            <w:pStyle w:val="33"/>
            <w:tabs>
              <w:tab w:val="right" w:leader="dot" w:pos="8306"/>
            </w:tabs>
            <w:rPr>
              <w:rFonts w:hint="eastAsia" w:ascii="仿宋" w:hAnsi="仿宋" w:eastAsia="仿宋" w:cs="仿宋"/>
              <w:b/>
              <w:sz w:val="24"/>
              <w:szCs w:val="24"/>
            </w:rPr>
          </w:pPr>
          <w:r>
            <w:rPr>
              <w:rFonts w:hint="eastAsia" w:ascii="仿宋" w:hAnsi="仿宋" w:eastAsia="仿宋" w:cs="仿宋"/>
              <w:b/>
              <w:sz w:val="24"/>
              <w:szCs w:val="24"/>
            </w:rPr>
            <w:fldChar w:fldCharType="begin"/>
          </w:r>
          <w:r>
            <w:rPr>
              <w:rFonts w:hint="eastAsia" w:ascii="仿宋" w:hAnsi="仿宋" w:eastAsia="仿宋" w:cs="仿宋"/>
              <w:b/>
              <w:sz w:val="24"/>
              <w:szCs w:val="24"/>
            </w:rPr>
            <w:instrText xml:space="preserve"> HYPERLINK \l _Toc28417 </w:instrText>
          </w:r>
          <w:r>
            <w:rPr>
              <w:rFonts w:hint="eastAsia" w:ascii="仿宋" w:hAnsi="仿宋" w:eastAsia="仿宋" w:cs="仿宋"/>
              <w:b/>
              <w:sz w:val="24"/>
              <w:szCs w:val="24"/>
            </w:rPr>
            <w:fldChar w:fldCharType="separate"/>
          </w:r>
          <w:r>
            <w:rPr>
              <w:rFonts w:hint="eastAsia" w:ascii="仿宋" w:hAnsi="仿宋" w:eastAsia="仿宋" w:cs="仿宋"/>
              <w:b/>
              <w:sz w:val="24"/>
              <w:szCs w:val="24"/>
            </w:rPr>
            <w:t>第一部分 单位</w:t>
          </w:r>
          <w:r>
            <w:rPr>
              <w:rFonts w:hint="eastAsia" w:ascii="仿宋" w:hAnsi="仿宋" w:eastAsia="仿宋" w:cs="仿宋"/>
              <w:b/>
              <w:bCs w:val="0"/>
              <w:sz w:val="24"/>
              <w:szCs w:val="24"/>
            </w:rPr>
            <w:t>概况</w:t>
          </w:r>
          <w:r>
            <w:rPr>
              <w:rFonts w:hint="eastAsia" w:ascii="仿宋" w:hAnsi="仿宋" w:eastAsia="仿宋" w:cs="仿宋"/>
              <w:b/>
              <w:sz w:val="24"/>
              <w:szCs w:val="24"/>
            </w:rPr>
            <w:tab/>
          </w:r>
          <w:r>
            <w:rPr>
              <w:rFonts w:hint="eastAsia" w:ascii="仿宋" w:hAnsi="仿宋" w:eastAsia="仿宋" w:cs="仿宋"/>
              <w:b/>
              <w:sz w:val="24"/>
              <w:szCs w:val="24"/>
            </w:rPr>
            <w:fldChar w:fldCharType="begin"/>
          </w:r>
          <w:r>
            <w:rPr>
              <w:rFonts w:hint="eastAsia" w:ascii="仿宋" w:hAnsi="仿宋" w:eastAsia="仿宋" w:cs="仿宋"/>
              <w:b/>
              <w:sz w:val="24"/>
              <w:szCs w:val="24"/>
            </w:rPr>
            <w:instrText xml:space="preserve"> PAGEREF _Toc28417 \h </w:instrText>
          </w:r>
          <w:r>
            <w:rPr>
              <w:rFonts w:hint="eastAsia" w:ascii="仿宋" w:hAnsi="仿宋" w:eastAsia="仿宋" w:cs="仿宋"/>
              <w:b/>
              <w:sz w:val="24"/>
              <w:szCs w:val="24"/>
            </w:rPr>
            <w:fldChar w:fldCharType="separate"/>
          </w:r>
          <w:r>
            <w:rPr>
              <w:rFonts w:hint="eastAsia" w:ascii="仿宋" w:hAnsi="仿宋" w:eastAsia="仿宋" w:cs="仿宋"/>
              <w:b/>
              <w:sz w:val="24"/>
              <w:szCs w:val="24"/>
            </w:rPr>
            <w:t>3</w:t>
          </w:r>
          <w:r>
            <w:rPr>
              <w:rFonts w:hint="eastAsia" w:ascii="仿宋" w:hAnsi="仿宋" w:eastAsia="仿宋" w:cs="仿宋"/>
              <w:b/>
              <w:sz w:val="24"/>
              <w:szCs w:val="24"/>
            </w:rPr>
            <w:fldChar w:fldCharType="end"/>
          </w:r>
          <w:r>
            <w:rPr>
              <w:rFonts w:hint="eastAsia" w:ascii="仿宋" w:hAnsi="仿宋" w:eastAsia="仿宋" w:cs="仿宋"/>
              <w:b/>
              <w:sz w:val="24"/>
              <w:szCs w:val="24"/>
            </w:rPr>
            <w:fldChar w:fldCharType="end"/>
          </w:r>
        </w:p>
        <w:p>
          <w:pPr>
            <w:pStyle w:val="34"/>
            <w:tabs>
              <w:tab w:val="right" w:leader="dot" w:pos="8306"/>
            </w:tabs>
            <w:rPr>
              <w:rFonts w:hint="eastAsia" w:ascii="仿宋" w:hAnsi="仿宋" w:eastAsia="仿宋" w:cs="仿宋"/>
              <w:sz w:val="22"/>
              <w:szCs w:val="22"/>
            </w:rPr>
          </w:pP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HYPERLINK \l _Toc31472 </w:instrText>
          </w:r>
          <w:r>
            <w:rPr>
              <w:rFonts w:hint="eastAsia" w:ascii="仿宋" w:hAnsi="仿宋" w:eastAsia="仿宋" w:cs="仿宋"/>
              <w:sz w:val="22"/>
              <w:szCs w:val="22"/>
            </w:rPr>
            <w:fldChar w:fldCharType="separate"/>
          </w:r>
          <w:r>
            <w:rPr>
              <w:rFonts w:hint="eastAsia" w:ascii="仿宋" w:hAnsi="仿宋" w:eastAsia="仿宋" w:cs="仿宋"/>
              <w:sz w:val="22"/>
              <w:szCs w:val="22"/>
            </w:rPr>
            <w:t>一、职能简介</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_Toc31472 \h </w:instrText>
          </w:r>
          <w:r>
            <w:rPr>
              <w:rFonts w:hint="eastAsia" w:ascii="仿宋" w:hAnsi="仿宋" w:eastAsia="仿宋" w:cs="仿宋"/>
              <w:sz w:val="22"/>
              <w:szCs w:val="22"/>
            </w:rPr>
            <w:fldChar w:fldCharType="separate"/>
          </w:r>
          <w:r>
            <w:rPr>
              <w:rFonts w:hint="eastAsia" w:ascii="仿宋" w:hAnsi="仿宋" w:eastAsia="仿宋" w:cs="仿宋"/>
              <w:sz w:val="22"/>
              <w:szCs w:val="22"/>
            </w:rPr>
            <w:t>3</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34"/>
            <w:tabs>
              <w:tab w:val="right" w:leader="dot" w:pos="8306"/>
            </w:tabs>
            <w:rPr>
              <w:rFonts w:hint="eastAsia" w:ascii="仿宋" w:hAnsi="仿宋" w:eastAsia="仿宋" w:cs="仿宋"/>
              <w:sz w:val="22"/>
              <w:szCs w:val="22"/>
            </w:rPr>
          </w:pP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HYPERLINK \l _Toc19713 </w:instrText>
          </w:r>
          <w:r>
            <w:rPr>
              <w:rFonts w:hint="eastAsia" w:ascii="仿宋" w:hAnsi="仿宋" w:eastAsia="仿宋" w:cs="仿宋"/>
              <w:sz w:val="22"/>
              <w:szCs w:val="22"/>
            </w:rPr>
            <w:fldChar w:fldCharType="separate"/>
          </w:r>
          <w:r>
            <w:rPr>
              <w:rFonts w:hint="eastAsia" w:ascii="仿宋" w:hAnsi="仿宋" w:eastAsia="仿宋" w:cs="仿宋"/>
              <w:sz w:val="22"/>
              <w:szCs w:val="22"/>
            </w:rPr>
            <w:t>二、2021年重点工作完成情况</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_Toc19713 \h </w:instrText>
          </w:r>
          <w:r>
            <w:rPr>
              <w:rFonts w:hint="eastAsia" w:ascii="仿宋" w:hAnsi="仿宋" w:eastAsia="仿宋" w:cs="仿宋"/>
              <w:sz w:val="22"/>
              <w:szCs w:val="22"/>
            </w:rPr>
            <w:fldChar w:fldCharType="separate"/>
          </w:r>
          <w:r>
            <w:rPr>
              <w:rFonts w:hint="eastAsia" w:ascii="仿宋" w:hAnsi="仿宋" w:eastAsia="仿宋" w:cs="仿宋"/>
              <w:sz w:val="22"/>
              <w:szCs w:val="22"/>
            </w:rPr>
            <w:t>3</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34"/>
            <w:tabs>
              <w:tab w:val="right" w:leader="dot" w:pos="8306"/>
            </w:tabs>
            <w:rPr>
              <w:rFonts w:hint="eastAsia" w:ascii="仿宋" w:hAnsi="仿宋" w:eastAsia="仿宋" w:cs="仿宋"/>
              <w:sz w:val="22"/>
              <w:szCs w:val="22"/>
            </w:rPr>
          </w:pP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HYPERLINK \l _Toc1246 </w:instrText>
          </w:r>
          <w:r>
            <w:rPr>
              <w:rFonts w:hint="eastAsia" w:ascii="仿宋" w:hAnsi="仿宋" w:eastAsia="仿宋" w:cs="仿宋"/>
              <w:sz w:val="22"/>
              <w:szCs w:val="22"/>
            </w:rPr>
            <w:fldChar w:fldCharType="separate"/>
          </w:r>
          <w:r>
            <w:rPr>
              <w:rFonts w:hint="eastAsia" w:ascii="仿宋" w:hAnsi="仿宋" w:eastAsia="仿宋" w:cs="仿宋"/>
              <w:sz w:val="22"/>
              <w:szCs w:val="22"/>
              <w:lang w:val="en-US" w:eastAsia="zh-CN"/>
            </w:rPr>
            <w:t>三、机构设置</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_Toc1246 \h </w:instrText>
          </w:r>
          <w:r>
            <w:rPr>
              <w:rFonts w:hint="eastAsia" w:ascii="仿宋" w:hAnsi="仿宋" w:eastAsia="仿宋" w:cs="仿宋"/>
              <w:sz w:val="22"/>
              <w:szCs w:val="22"/>
            </w:rPr>
            <w:fldChar w:fldCharType="separate"/>
          </w:r>
          <w:r>
            <w:rPr>
              <w:rFonts w:hint="eastAsia" w:ascii="仿宋" w:hAnsi="仿宋" w:eastAsia="仿宋" w:cs="仿宋"/>
              <w:sz w:val="22"/>
              <w:szCs w:val="22"/>
            </w:rPr>
            <w:t>6</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33"/>
            <w:tabs>
              <w:tab w:val="right" w:leader="dot" w:pos="8306"/>
            </w:tabs>
            <w:rPr>
              <w:rFonts w:hint="eastAsia" w:ascii="仿宋" w:hAnsi="仿宋" w:eastAsia="仿宋" w:cs="仿宋"/>
              <w:b/>
              <w:sz w:val="24"/>
              <w:szCs w:val="24"/>
            </w:rPr>
          </w:pPr>
          <w:r>
            <w:rPr>
              <w:rFonts w:hint="eastAsia" w:ascii="仿宋" w:hAnsi="仿宋" w:eastAsia="仿宋" w:cs="仿宋"/>
              <w:b/>
              <w:sz w:val="24"/>
              <w:szCs w:val="24"/>
            </w:rPr>
            <w:fldChar w:fldCharType="begin"/>
          </w:r>
          <w:r>
            <w:rPr>
              <w:rFonts w:hint="eastAsia" w:ascii="仿宋" w:hAnsi="仿宋" w:eastAsia="仿宋" w:cs="仿宋"/>
              <w:b/>
              <w:sz w:val="24"/>
              <w:szCs w:val="24"/>
            </w:rPr>
            <w:instrText xml:space="preserve"> HYPERLINK \l _Toc25609 </w:instrText>
          </w:r>
          <w:r>
            <w:rPr>
              <w:rFonts w:hint="eastAsia" w:ascii="仿宋" w:hAnsi="仿宋" w:eastAsia="仿宋" w:cs="仿宋"/>
              <w:b/>
              <w:sz w:val="24"/>
              <w:szCs w:val="24"/>
            </w:rPr>
            <w:fldChar w:fldCharType="separate"/>
          </w:r>
          <w:r>
            <w:rPr>
              <w:rFonts w:hint="eastAsia" w:ascii="仿宋" w:hAnsi="仿宋" w:eastAsia="仿宋" w:cs="仿宋"/>
              <w:b/>
              <w:sz w:val="24"/>
              <w:szCs w:val="24"/>
            </w:rPr>
            <w:t>第二部分 2021年度单位决算情况说明</w:t>
          </w:r>
          <w:r>
            <w:rPr>
              <w:rFonts w:hint="eastAsia" w:ascii="仿宋" w:hAnsi="仿宋" w:eastAsia="仿宋" w:cs="仿宋"/>
              <w:b/>
              <w:sz w:val="24"/>
              <w:szCs w:val="24"/>
            </w:rPr>
            <w:tab/>
          </w:r>
          <w:r>
            <w:rPr>
              <w:rFonts w:hint="eastAsia" w:ascii="仿宋" w:hAnsi="仿宋" w:eastAsia="仿宋" w:cs="仿宋"/>
              <w:b/>
              <w:sz w:val="24"/>
              <w:szCs w:val="24"/>
            </w:rPr>
            <w:fldChar w:fldCharType="begin"/>
          </w:r>
          <w:r>
            <w:rPr>
              <w:rFonts w:hint="eastAsia" w:ascii="仿宋" w:hAnsi="仿宋" w:eastAsia="仿宋" w:cs="仿宋"/>
              <w:b/>
              <w:sz w:val="24"/>
              <w:szCs w:val="24"/>
            </w:rPr>
            <w:instrText xml:space="preserve"> PAGEREF _Toc25609 \h </w:instrText>
          </w:r>
          <w:r>
            <w:rPr>
              <w:rFonts w:hint="eastAsia" w:ascii="仿宋" w:hAnsi="仿宋" w:eastAsia="仿宋" w:cs="仿宋"/>
              <w:b/>
              <w:sz w:val="24"/>
              <w:szCs w:val="24"/>
            </w:rPr>
            <w:fldChar w:fldCharType="separate"/>
          </w:r>
          <w:r>
            <w:rPr>
              <w:rFonts w:hint="eastAsia" w:ascii="仿宋" w:hAnsi="仿宋" w:eastAsia="仿宋" w:cs="仿宋"/>
              <w:b/>
              <w:sz w:val="24"/>
              <w:szCs w:val="24"/>
            </w:rPr>
            <w:t>7</w:t>
          </w:r>
          <w:r>
            <w:rPr>
              <w:rFonts w:hint="eastAsia" w:ascii="仿宋" w:hAnsi="仿宋" w:eastAsia="仿宋" w:cs="仿宋"/>
              <w:b/>
              <w:sz w:val="24"/>
              <w:szCs w:val="24"/>
            </w:rPr>
            <w:fldChar w:fldCharType="end"/>
          </w:r>
          <w:r>
            <w:rPr>
              <w:rFonts w:hint="eastAsia" w:ascii="仿宋" w:hAnsi="仿宋" w:eastAsia="仿宋" w:cs="仿宋"/>
              <w:b/>
              <w:sz w:val="24"/>
              <w:szCs w:val="24"/>
            </w:rPr>
            <w:fldChar w:fldCharType="end"/>
          </w:r>
        </w:p>
        <w:p>
          <w:pPr>
            <w:pStyle w:val="34"/>
            <w:tabs>
              <w:tab w:val="right" w:leader="dot" w:pos="8306"/>
            </w:tabs>
            <w:rPr>
              <w:rFonts w:hint="eastAsia" w:ascii="仿宋" w:hAnsi="仿宋" w:eastAsia="仿宋" w:cs="仿宋"/>
              <w:sz w:val="22"/>
              <w:szCs w:val="22"/>
            </w:rPr>
          </w:pP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HYPERLINK \l _Toc16243 </w:instrText>
          </w:r>
          <w:r>
            <w:rPr>
              <w:rFonts w:hint="eastAsia" w:ascii="仿宋" w:hAnsi="仿宋" w:eastAsia="仿宋" w:cs="仿宋"/>
              <w:sz w:val="22"/>
              <w:szCs w:val="22"/>
            </w:rPr>
            <w:fldChar w:fldCharType="separate"/>
          </w:r>
          <w:r>
            <w:rPr>
              <w:rFonts w:hint="default" w:ascii="仿宋" w:hAnsi="仿宋" w:eastAsia="仿宋" w:cs="仿宋"/>
              <w:sz w:val="22"/>
              <w:szCs w:val="22"/>
            </w:rPr>
            <w:t xml:space="preserve">一、 </w:t>
          </w:r>
          <w:r>
            <w:rPr>
              <w:rFonts w:hint="eastAsia" w:ascii="仿宋" w:hAnsi="仿宋" w:eastAsia="仿宋" w:cs="仿宋"/>
              <w:sz w:val="22"/>
              <w:szCs w:val="22"/>
            </w:rPr>
            <w:t>收入支出决算总体情况说明</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_Toc16243 \h </w:instrText>
          </w:r>
          <w:r>
            <w:rPr>
              <w:rFonts w:hint="eastAsia" w:ascii="仿宋" w:hAnsi="仿宋" w:eastAsia="仿宋" w:cs="仿宋"/>
              <w:sz w:val="22"/>
              <w:szCs w:val="22"/>
            </w:rPr>
            <w:fldChar w:fldCharType="separate"/>
          </w:r>
          <w:r>
            <w:rPr>
              <w:rFonts w:hint="eastAsia" w:ascii="仿宋" w:hAnsi="仿宋" w:eastAsia="仿宋" w:cs="仿宋"/>
              <w:sz w:val="22"/>
              <w:szCs w:val="22"/>
            </w:rPr>
            <w:t>7</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34"/>
            <w:tabs>
              <w:tab w:val="right" w:leader="dot" w:pos="8306"/>
            </w:tabs>
            <w:rPr>
              <w:rFonts w:hint="eastAsia" w:ascii="仿宋" w:hAnsi="仿宋" w:eastAsia="仿宋" w:cs="仿宋"/>
              <w:sz w:val="22"/>
              <w:szCs w:val="22"/>
            </w:rPr>
          </w:pP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HYPERLINK \l _Toc23267 </w:instrText>
          </w:r>
          <w:r>
            <w:rPr>
              <w:rFonts w:hint="eastAsia" w:ascii="仿宋" w:hAnsi="仿宋" w:eastAsia="仿宋" w:cs="仿宋"/>
              <w:sz w:val="22"/>
              <w:szCs w:val="22"/>
            </w:rPr>
            <w:fldChar w:fldCharType="separate"/>
          </w:r>
          <w:r>
            <w:rPr>
              <w:rFonts w:hint="eastAsia" w:ascii="仿宋" w:hAnsi="仿宋" w:eastAsia="仿宋" w:cs="仿宋"/>
              <w:sz w:val="22"/>
              <w:szCs w:val="22"/>
            </w:rPr>
            <w:t>二、收入决算情况说明</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_Toc23267 \h </w:instrText>
          </w:r>
          <w:r>
            <w:rPr>
              <w:rFonts w:hint="eastAsia" w:ascii="仿宋" w:hAnsi="仿宋" w:eastAsia="仿宋" w:cs="仿宋"/>
              <w:sz w:val="22"/>
              <w:szCs w:val="22"/>
            </w:rPr>
            <w:fldChar w:fldCharType="separate"/>
          </w:r>
          <w:r>
            <w:rPr>
              <w:rFonts w:hint="eastAsia" w:ascii="仿宋" w:hAnsi="仿宋" w:eastAsia="仿宋" w:cs="仿宋"/>
              <w:sz w:val="22"/>
              <w:szCs w:val="22"/>
            </w:rPr>
            <w:t>7</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34"/>
            <w:tabs>
              <w:tab w:val="right" w:leader="dot" w:pos="8306"/>
            </w:tabs>
            <w:rPr>
              <w:rFonts w:hint="eastAsia" w:ascii="仿宋" w:hAnsi="仿宋" w:eastAsia="仿宋" w:cs="仿宋"/>
              <w:sz w:val="22"/>
              <w:szCs w:val="22"/>
            </w:rPr>
          </w:pP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HYPERLINK \l _Toc14134 </w:instrText>
          </w:r>
          <w:r>
            <w:rPr>
              <w:rFonts w:hint="eastAsia" w:ascii="仿宋" w:hAnsi="仿宋" w:eastAsia="仿宋" w:cs="仿宋"/>
              <w:sz w:val="22"/>
              <w:szCs w:val="22"/>
            </w:rPr>
            <w:fldChar w:fldCharType="separate"/>
          </w:r>
          <w:r>
            <w:rPr>
              <w:rFonts w:hint="eastAsia" w:ascii="仿宋" w:hAnsi="仿宋" w:eastAsia="仿宋" w:cs="仿宋"/>
              <w:sz w:val="22"/>
              <w:szCs w:val="22"/>
            </w:rPr>
            <w:t>三、支出决算情况说明</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_Toc14134 \h </w:instrText>
          </w:r>
          <w:r>
            <w:rPr>
              <w:rFonts w:hint="eastAsia" w:ascii="仿宋" w:hAnsi="仿宋" w:eastAsia="仿宋" w:cs="仿宋"/>
              <w:sz w:val="22"/>
              <w:szCs w:val="22"/>
            </w:rPr>
            <w:fldChar w:fldCharType="separate"/>
          </w:r>
          <w:r>
            <w:rPr>
              <w:rFonts w:hint="eastAsia" w:ascii="仿宋" w:hAnsi="仿宋" w:eastAsia="仿宋" w:cs="仿宋"/>
              <w:sz w:val="22"/>
              <w:szCs w:val="22"/>
            </w:rPr>
            <w:t>8</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34"/>
            <w:tabs>
              <w:tab w:val="right" w:leader="dot" w:pos="8306"/>
            </w:tabs>
            <w:rPr>
              <w:rFonts w:hint="eastAsia" w:ascii="仿宋" w:hAnsi="仿宋" w:eastAsia="仿宋" w:cs="仿宋"/>
              <w:sz w:val="22"/>
              <w:szCs w:val="22"/>
            </w:rPr>
          </w:pP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HYPERLINK \l _Toc14465 </w:instrText>
          </w:r>
          <w:r>
            <w:rPr>
              <w:rFonts w:hint="eastAsia" w:ascii="仿宋" w:hAnsi="仿宋" w:eastAsia="仿宋" w:cs="仿宋"/>
              <w:sz w:val="22"/>
              <w:szCs w:val="22"/>
            </w:rPr>
            <w:fldChar w:fldCharType="separate"/>
          </w:r>
          <w:r>
            <w:rPr>
              <w:rFonts w:hint="eastAsia" w:ascii="仿宋" w:hAnsi="仿宋" w:eastAsia="仿宋" w:cs="仿宋"/>
              <w:sz w:val="22"/>
              <w:szCs w:val="22"/>
            </w:rPr>
            <w:t>四、财政拨款收入支出决算总体情况说明</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_Toc14465 \h </w:instrText>
          </w:r>
          <w:r>
            <w:rPr>
              <w:rFonts w:hint="eastAsia" w:ascii="仿宋" w:hAnsi="仿宋" w:eastAsia="仿宋" w:cs="仿宋"/>
              <w:sz w:val="22"/>
              <w:szCs w:val="22"/>
            </w:rPr>
            <w:fldChar w:fldCharType="separate"/>
          </w:r>
          <w:r>
            <w:rPr>
              <w:rFonts w:hint="eastAsia" w:ascii="仿宋" w:hAnsi="仿宋" w:eastAsia="仿宋" w:cs="仿宋"/>
              <w:sz w:val="22"/>
              <w:szCs w:val="22"/>
            </w:rPr>
            <w:t>8</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34"/>
            <w:tabs>
              <w:tab w:val="right" w:leader="dot" w:pos="8306"/>
            </w:tabs>
            <w:rPr>
              <w:rFonts w:hint="eastAsia" w:ascii="仿宋" w:hAnsi="仿宋" w:eastAsia="仿宋" w:cs="仿宋"/>
              <w:sz w:val="22"/>
              <w:szCs w:val="22"/>
            </w:rPr>
          </w:pP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HYPERLINK \l _Toc11702 </w:instrText>
          </w:r>
          <w:r>
            <w:rPr>
              <w:rFonts w:hint="eastAsia" w:ascii="仿宋" w:hAnsi="仿宋" w:eastAsia="仿宋" w:cs="仿宋"/>
              <w:sz w:val="22"/>
              <w:szCs w:val="22"/>
            </w:rPr>
            <w:fldChar w:fldCharType="separate"/>
          </w:r>
          <w:r>
            <w:rPr>
              <w:rFonts w:hint="eastAsia" w:ascii="仿宋" w:hAnsi="仿宋" w:eastAsia="仿宋" w:cs="仿宋"/>
              <w:sz w:val="22"/>
              <w:szCs w:val="22"/>
            </w:rPr>
            <w:t>五、一般公共预算财政拨款支出决算情况说明</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_Toc11702 \h </w:instrText>
          </w:r>
          <w:r>
            <w:rPr>
              <w:rFonts w:hint="eastAsia" w:ascii="仿宋" w:hAnsi="仿宋" w:eastAsia="仿宋" w:cs="仿宋"/>
              <w:sz w:val="22"/>
              <w:szCs w:val="22"/>
            </w:rPr>
            <w:fldChar w:fldCharType="separate"/>
          </w:r>
          <w:r>
            <w:rPr>
              <w:rFonts w:hint="eastAsia" w:ascii="仿宋" w:hAnsi="仿宋" w:eastAsia="仿宋" w:cs="仿宋"/>
              <w:sz w:val="22"/>
              <w:szCs w:val="22"/>
            </w:rPr>
            <w:t>9</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34"/>
            <w:tabs>
              <w:tab w:val="right" w:leader="dot" w:pos="8306"/>
            </w:tabs>
            <w:rPr>
              <w:rFonts w:hint="eastAsia" w:ascii="仿宋" w:hAnsi="仿宋" w:eastAsia="仿宋" w:cs="仿宋"/>
              <w:sz w:val="22"/>
              <w:szCs w:val="22"/>
            </w:rPr>
          </w:pP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HYPERLINK \l _Toc11259 </w:instrText>
          </w:r>
          <w:r>
            <w:rPr>
              <w:rFonts w:hint="eastAsia" w:ascii="仿宋" w:hAnsi="仿宋" w:eastAsia="仿宋" w:cs="仿宋"/>
              <w:sz w:val="22"/>
              <w:szCs w:val="22"/>
            </w:rPr>
            <w:fldChar w:fldCharType="separate"/>
          </w:r>
          <w:r>
            <w:rPr>
              <w:rFonts w:hint="eastAsia" w:ascii="仿宋" w:hAnsi="仿宋" w:eastAsia="仿宋" w:cs="仿宋"/>
              <w:sz w:val="22"/>
              <w:szCs w:val="22"/>
            </w:rPr>
            <w:t>六、一般公共预算财政拨款基本支出决算情况说明</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_Toc11259 \h </w:instrText>
          </w:r>
          <w:r>
            <w:rPr>
              <w:rFonts w:hint="eastAsia" w:ascii="仿宋" w:hAnsi="仿宋" w:eastAsia="仿宋" w:cs="仿宋"/>
              <w:sz w:val="22"/>
              <w:szCs w:val="22"/>
            </w:rPr>
            <w:fldChar w:fldCharType="separate"/>
          </w:r>
          <w:r>
            <w:rPr>
              <w:rFonts w:hint="eastAsia" w:ascii="仿宋" w:hAnsi="仿宋" w:eastAsia="仿宋" w:cs="仿宋"/>
              <w:sz w:val="22"/>
              <w:szCs w:val="22"/>
            </w:rPr>
            <w:t>13</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34"/>
            <w:tabs>
              <w:tab w:val="right" w:leader="dot" w:pos="8306"/>
            </w:tabs>
            <w:rPr>
              <w:rFonts w:hint="eastAsia" w:ascii="仿宋" w:hAnsi="仿宋" w:eastAsia="仿宋" w:cs="仿宋"/>
              <w:sz w:val="22"/>
              <w:szCs w:val="22"/>
            </w:rPr>
          </w:pP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HYPERLINK \l _Toc4780 </w:instrText>
          </w:r>
          <w:r>
            <w:rPr>
              <w:rFonts w:hint="eastAsia" w:ascii="仿宋" w:hAnsi="仿宋" w:eastAsia="仿宋" w:cs="仿宋"/>
              <w:sz w:val="22"/>
              <w:szCs w:val="22"/>
            </w:rPr>
            <w:fldChar w:fldCharType="separate"/>
          </w:r>
          <w:r>
            <w:rPr>
              <w:rFonts w:hint="eastAsia" w:ascii="仿宋" w:hAnsi="仿宋" w:eastAsia="仿宋" w:cs="仿宋"/>
              <w:sz w:val="22"/>
              <w:szCs w:val="22"/>
            </w:rPr>
            <w:t>七、“三公”经费财政拨款支出决算情况说明</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_Toc4780 \h </w:instrText>
          </w:r>
          <w:r>
            <w:rPr>
              <w:rFonts w:hint="eastAsia" w:ascii="仿宋" w:hAnsi="仿宋" w:eastAsia="仿宋" w:cs="仿宋"/>
              <w:sz w:val="22"/>
              <w:szCs w:val="22"/>
            </w:rPr>
            <w:fldChar w:fldCharType="separate"/>
          </w:r>
          <w:r>
            <w:rPr>
              <w:rFonts w:hint="eastAsia" w:ascii="仿宋" w:hAnsi="仿宋" w:eastAsia="仿宋" w:cs="仿宋"/>
              <w:sz w:val="22"/>
              <w:szCs w:val="22"/>
            </w:rPr>
            <w:t>13</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34"/>
            <w:tabs>
              <w:tab w:val="right" w:leader="dot" w:pos="8306"/>
            </w:tabs>
            <w:rPr>
              <w:rFonts w:hint="eastAsia" w:ascii="仿宋" w:hAnsi="仿宋" w:eastAsia="仿宋" w:cs="仿宋"/>
              <w:sz w:val="22"/>
              <w:szCs w:val="22"/>
            </w:rPr>
          </w:pP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HYPERLINK \l _Toc2183 </w:instrText>
          </w:r>
          <w:r>
            <w:rPr>
              <w:rFonts w:hint="eastAsia" w:ascii="仿宋" w:hAnsi="仿宋" w:eastAsia="仿宋" w:cs="仿宋"/>
              <w:sz w:val="22"/>
              <w:szCs w:val="22"/>
            </w:rPr>
            <w:fldChar w:fldCharType="separate"/>
          </w:r>
          <w:r>
            <w:rPr>
              <w:rFonts w:hint="eastAsia" w:ascii="仿宋" w:hAnsi="仿宋" w:eastAsia="仿宋" w:cs="仿宋"/>
              <w:sz w:val="22"/>
              <w:szCs w:val="22"/>
            </w:rPr>
            <w:t>八、政府性基金预算支出决算情况说明</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_Toc2183 \h </w:instrText>
          </w:r>
          <w:r>
            <w:rPr>
              <w:rFonts w:hint="eastAsia" w:ascii="仿宋" w:hAnsi="仿宋" w:eastAsia="仿宋" w:cs="仿宋"/>
              <w:sz w:val="22"/>
              <w:szCs w:val="22"/>
            </w:rPr>
            <w:fldChar w:fldCharType="separate"/>
          </w:r>
          <w:r>
            <w:rPr>
              <w:rFonts w:hint="eastAsia" w:ascii="仿宋" w:hAnsi="仿宋" w:eastAsia="仿宋" w:cs="仿宋"/>
              <w:sz w:val="22"/>
              <w:szCs w:val="22"/>
            </w:rPr>
            <w:t>17</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34"/>
            <w:tabs>
              <w:tab w:val="right" w:leader="dot" w:pos="8306"/>
            </w:tabs>
            <w:rPr>
              <w:rFonts w:hint="eastAsia" w:ascii="仿宋" w:hAnsi="仿宋" w:eastAsia="仿宋" w:cs="仿宋"/>
              <w:sz w:val="22"/>
              <w:szCs w:val="22"/>
            </w:rPr>
          </w:pP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HYPERLINK \l _Toc32223 </w:instrText>
          </w:r>
          <w:r>
            <w:rPr>
              <w:rFonts w:hint="eastAsia" w:ascii="仿宋" w:hAnsi="仿宋" w:eastAsia="仿宋" w:cs="仿宋"/>
              <w:sz w:val="22"/>
              <w:szCs w:val="22"/>
            </w:rPr>
            <w:fldChar w:fldCharType="separate"/>
          </w:r>
          <w:r>
            <w:rPr>
              <w:rFonts w:hint="eastAsia" w:ascii="仿宋" w:hAnsi="仿宋" w:eastAsia="仿宋" w:cs="仿宋"/>
              <w:sz w:val="22"/>
              <w:szCs w:val="22"/>
            </w:rPr>
            <w:t>九、 国有资本经营预算支出决算情况说明</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_Toc32223 \h </w:instrText>
          </w:r>
          <w:r>
            <w:rPr>
              <w:rFonts w:hint="eastAsia" w:ascii="仿宋" w:hAnsi="仿宋" w:eastAsia="仿宋" w:cs="仿宋"/>
              <w:sz w:val="22"/>
              <w:szCs w:val="22"/>
            </w:rPr>
            <w:fldChar w:fldCharType="separate"/>
          </w:r>
          <w:r>
            <w:rPr>
              <w:rFonts w:hint="eastAsia" w:ascii="仿宋" w:hAnsi="仿宋" w:eastAsia="仿宋" w:cs="仿宋"/>
              <w:sz w:val="22"/>
              <w:szCs w:val="22"/>
            </w:rPr>
            <w:t>17</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34"/>
            <w:tabs>
              <w:tab w:val="right" w:leader="dot" w:pos="8306"/>
            </w:tabs>
            <w:rPr>
              <w:rFonts w:hint="eastAsia" w:ascii="仿宋" w:hAnsi="仿宋" w:eastAsia="仿宋" w:cs="仿宋"/>
              <w:sz w:val="22"/>
              <w:szCs w:val="22"/>
            </w:rPr>
          </w:pP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HYPERLINK \l _Toc23313 </w:instrText>
          </w:r>
          <w:r>
            <w:rPr>
              <w:rFonts w:hint="eastAsia" w:ascii="仿宋" w:hAnsi="仿宋" w:eastAsia="仿宋" w:cs="仿宋"/>
              <w:sz w:val="22"/>
              <w:szCs w:val="22"/>
            </w:rPr>
            <w:fldChar w:fldCharType="separate"/>
          </w:r>
          <w:r>
            <w:rPr>
              <w:rFonts w:hint="eastAsia" w:ascii="仿宋" w:hAnsi="仿宋" w:eastAsia="仿宋" w:cs="仿宋"/>
              <w:sz w:val="22"/>
              <w:szCs w:val="22"/>
            </w:rPr>
            <w:t>十、 其他重要事项的情况说明</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_Toc23313 \h </w:instrText>
          </w:r>
          <w:r>
            <w:rPr>
              <w:rFonts w:hint="eastAsia" w:ascii="仿宋" w:hAnsi="仿宋" w:eastAsia="仿宋" w:cs="仿宋"/>
              <w:sz w:val="22"/>
              <w:szCs w:val="22"/>
            </w:rPr>
            <w:fldChar w:fldCharType="separate"/>
          </w:r>
          <w:r>
            <w:rPr>
              <w:rFonts w:hint="eastAsia" w:ascii="仿宋" w:hAnsi="仿宋" w:eastAsia="仿宋" w:cs="仿宋"/>
              <w:sz w:val="22"/>
              <w:szCs w:val="22"/>
            </w:rPr>
            <w:t>17</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33"/>
            <w:tabs>
              <w:tab w:val="right" w:leader="dot" w:pos="8306"/>
            </w:tabs>
            <w:rPr>
              <w:rFonts w:hint="eastAsia" w:ascii="仿宋" w:hAnsi="仿宋" w:eastAsia="仿宋" w:cs="仿宋"/>
              <w:b/>
              <w:sz w:val="24"/>
              <w:szCs w:val="24"/>
            </w:rPr>
          </w:pPr>
          <w:r>
            <w:rPr>
              <w:rFonts w:hint="eastAsia" w:ascii="仿宋" w:hAnsi="仿宋" w:eastAsia="仿宋" w:cs="仿宋"/>
              <w:b/>
              <w:sz w:val="24"/>
              <w:szCs w:val="24"/>
            </w:rPr>
            <w:fldChar w:fldCharType="begin"/>
          </w:r>
          <w:r>
            <w:rPr>
              <w:rFonts w:hint="eastAsia" w:ascii="仿宋" w:hAnsi="仿宋" w:eastAsia="仿宋" w:cs="仿宋"/>
              <w:b/>
              <w:sz w:val="24"/>
              <w:szCs w:val="24"/>
            </w:rPr>
            <w:instrText xml:space="preserve"> HYPERLINK \l _Toc1536 </w:instrText>
          </w:r>
          <w:r>
            <w:rPr>
              <w:rFonts w:hint="eastAsia" w:ascii="仿宋" w:hAnsi="仿宋" w:eastAsia="仿宋" w:cs="仿宋"/>
              <w:b/>
              <w:sz w:val="24"/>
              <w:szCs w:val="24"/>
            </w:rPr>
            <w:fldChar w:fldCharType="separate"/>
          </w:r>
          <w:r>
            <w:rPr>
              <w:rFonts w:hint="eastAsia" w:ascii="仿宋" w:hAnsi="仿宋" w:eastAsia="仿宋" w:cs="仿宋"/>
              <w:b/>
              <w:sz w:val="24"/>
              <w:szCs w:val="24"/>
            </w:rPr>
            <w:t>第三部分 名词解释</w:t>
          </w:r>
          <w:r>
            <w:rPr>
              <w:rFonts w:hint="eastAsia" w:ascii="仿宋" w:hAnsi="仿宋" w:eastAsia="仿宋" w:cs="仿宋"/>
              <w:b/>
              <w:sz w:val="24"/>
              <w:szCs w:val="24"/>
            </w:rPr>
            <w:tab/>
          </w:r>
          <w:r>
            <w:rPr>
              <w:rFonts w:hint="eastAsia" w:ascii="仿宋" w:hAnsi="仿宋" w:eastAsia="仿宋" w:cs="仿宋"/>
              <w:b/>
              <w:sz w:val="24"/>
              <w:szCs w:val="24"/>
            </w:rPr>
            <w:fldChar w:fldCharType="begin"/>
          </w:r>
          <w:r>
            <w:rPr>
              <w:rFonts w:hint="eastAsia" w:ascii="仿宋" w:hAnsi="仿宋" w:eastAsia="仿宋" w:cs="仿宋"/>
              <w:b/>
              <w:sz w:val="24"/>
              <w:szCs w:val="24"/>
            </w:rPr>
            <w:instrText xml:space="preserve"> PAGEREF _Toc1536 \h </w:instrText>
          </w:r>
          <w:r>
            <w:rPr>
              <w:rFonts w:hint="eastAsia" w:ascii="仿宋" w:hAnsi="仿宋" w:eastAsia="仿宋" w:cs="仿宋"/>
              <w:b/>
              <w:sz w:val="24"/>
              <w:szCs w:val="24"/>
            </w:rPr>
            <w:fldChar w:fldCharType="separate"/>
          </w:r>
          <w:r>
            <w:rPr>
              <w:rFonts w:hint="eastAsia" w:ascii="仿宋" w:hAnsi="仿宋" w:eastAsia="仿宋" w:cs="仿宋"/>
              <w:b/>
              <w:sz w:val="24"/>
              <w:szCs w:val="24"/>
            </w:rPr>
            <w:t>19</w:t>
          </w:r>
          <w:r>
            <w:rPr>
              <w:rFonts w:hint="eastAsia" w:ascii="仿宋" w:hAnsi="仿宋" w:eastAsia="仿宋" w:cs="仿宋"/>
              <w:b/>
              <w:sz w:val="24"/>
              <w:szCs w:val="24"/>
            </w:rPr>
            <w:fldChar w:fldCharType="end"/>
          </w:r>
          <w:r>
            <w:rPr>
              <w:rFonts w:hint="eastAsia" w:ascii="仿宋" w:hAnsi="仿宋" w:eastAsia="仿宋" w:cs="仿宋"/>
              <w:b/>
              <w:sz w:val="24"/>
              <w:szCs w:val="24"/>
            </w:rPr>
            <w:fldChar w:fldCharType="end"/>
          </w:r>
        </w:p>
        <w:p>
          <w:pPr>
            <w:pStyle w:val="33"/>
            <w:tabs>
              <w:tab w:val="right" w:leader="dot" w:pos="8306"/>
            </w:tabs>
            <w:rPr>
              <w:rFonts w:hint="eastAsia" w:ascii="仿宋" w:hAnsi="仿宋" w:eastAsia="仿宋" w:cs="仿宋"/>
              <w:b/>
              <w:sz w:val="24"/>
              <w:szCs w:val="24"/>
            </w:rPr>
          </w:pPr>
          <w:r>
            <w:rPr>
              <w:rFonts w:hint="eastAsia" w:ascii="仿宋" w:hAnsi="仿宋" w:eastAsia="仿宋" w:cs="仿宋"/>
              <w:b/>
              <w:sz w:val="24"/>
              <w:szCs w:val="24"/>
            </w:rPr>
            <w:fldChar w:fldCharType="begin"/>
          </w:r>
          <w:r>
            <w:rPr>
              <w:rFonts w:hint="eastAsia" w:ascii="仿宋" w:hAnsi="仿宋" w:eastAsia="仿宋" w:cs="仿宋"/>
              <w:b/>
              <w:sz w:val="24"/>
              <w:szCs w:val="24"/>
            </w:rPr>
            <w:instrText xml:space="preserve"> HYPERLINK \l _Toc3859 </w:instrText>
          </w:r>
          <w:r>
            <w:rPr>
              <w:rFonts w:hint="eastAsia" w:ascii="仿宋" w:hAnsi="仿宋" w:eastAsia="仿宋" w:cs="仿宋"/>
              <w:b/>
              <w:sz w:val="24"/>
              <w:szCs w:val="24"/>
            </w:rPr>
            <w:fldChar w:fldCharType="separate"/>
          </w:r>
          <w:r>
            <w:rPr>
              <w:rFonts w:hint="eastAsia" w:ascii="仿宋" w:hAnsi="仿宋" w:eastAsia="仿宋" w:cs="仿宋"/>
              <w:b/>
              <w:sz w:val="24"/>
              <w:szCs w:val="24"/>
            </w:rPr>
            <w:t>第四部分 附件</w:t>
          </w:r>
          <w:r>
            <w:rPr>
              <w:rFonts w:hint="eastAsia" w:ascii="仿宋" w:hAnsi="仿宋" w:eastAsia="仿宋" w:cs="仿宋"/>
              <w:b/>
              <w:sz w:val="24"/>
              <w:szCs w:val="24"/>
            </w:rPr>
            <w:tab/>
          </w:r>
          <w:r>
            <w:rPr>
              <w:rFonts w:hint="eastAsia" w:ascii="仿宋" w:hAnsi="仿宋" w:eastAsia="仿宋" w:cs="仿宋"/>
              <w:b/>
              <w:sz w:val="24"/>
              <w:szCs w:val="24"/>
            </w:rPr>
            <w:fldChar w:fldCharType="begin"/>
          </w:r>
          <w:r>
            <w:rPr>
              <w:rFonts w:hint="eastAsia" w:ascii="仿宋" w:hAnsi="仿宋" w:eastAsia="仿宋" w:cs="仿宋"/>
              <w:b/>
              <w:sz w:val="24"/>
              <w:szCs w:val="24"/>
            </w:rPr>
            <w:instrText xml:space="preserve"> PAGEREF _Toc3859 \h </w:instrText>
          </w:r>
          <w:r>
            <w:rPr>
              <w:rFonts w:hint="eastAsia" w:ascii="仿宋" w:hAnsi="仿宋" w:eastAsia="仿宋" w:cs="仿宋"/>
              <w:b/>
              <w:sz w:val="24"/>
              <w:szCs w:val="24"/>
            </w:rPr>
            <w:fldChar w:fldCharType="separate"/>
          </w:r>
          <w:r>
            <w:rPr>
              <w:rFonts w:hint="eastAsia" w:ascii="仿宋" w:hAnsi="仿宋" w:eastAsia="仿宋" w:cs="仿宋"/>
              <w:b/>
              <w:sz w:val="24"/>
              <w:szCs w:val="24"/>
            </w:rPr>
            <w:t>22</w:t>
          </w:r>
          <w:r>
            <w:rPr>
              <w:rFonts w:hint="eastAsia" w:ascii="仿宋" w:hAnsi="仿宋" w:eastAsia="仿宋" w:cs="仿宋"/>
              <w:b/>
              <w:sz w:val="24"/>
              <w:szCs w:val="24"/>
            </w:rPr>
            <w:fldChar w:fldCharType="end"/>
          </w:r>
          <w:r>
            <w:rPr>
              <w:rFonts w:hint="eastAsia" w:ascii="仿宋" w:hAnsi="仿宋" w:eastAsia="仿宋" w:cs="仿宋"/>
              <w:b/>
              <w:sz w:val="24"/>
              <w:szCs w:val="24"/>
            </w:rPr>
            <w:fldChar w:fldCharType="end"/>
          </w:r>
        </w:p>
        <w:p>
          <w:pPr>
            <w:pStyle w:val="33"/>
            <w:tabs>
              <w:tab w:val="right" w:leader="dot" w:pos="8306"/>
            </w:tabs>
            <w:rPr>
              <w:rFonts w:hint="eastAsia" w:ascii="仿宋" w:hAnsi="仿宋" w:eastAsia="仿宋" w:cs="仿宋"/>
              <w:b/>
              <w:sz w:val="24"/>
              <w:szCs w:val="24"/>
            </w:rPr>
          </w:pPr>
          <w:r>
            <w:rPr>
              <w:rFonts w:hint="eastAsia" w:ascii="仿宋" w:hAnsi="仿宋" w:eastAsia="仿宋" w:cs="仿宋"/>
              <w:b/>
              <w:sz w:val="24"/>
              <w:szCs w:val="24"/>
            </w:rPr>
            <w:fldChar w:fldCharType="begin"/>
          </w:r>
          <w:r>
            <w:rPr>
              <w:rFonts w:hint="eastAsia" w:ascii="仿宋" w:hAnsi="仿宋" w:eastAsia="仿宋" w:cs="仿宋"/>
              <w:b/>
              <w:sz w:val="24"/>
              <w:szCs w:val="24"/>
            </w:rPr>
            <w:instrText xml:space="preserve"> HYPERLINK \l _Toc15384 </w:instrText>
          </w:r>
          <w:r>
            <w:rPr>
              <w:rFonts w:hint="eastAsia" w:ascii="仿宋" w:hAnsi="仿宋" w:eastAsia="仿宋" w:cs="仿宋"/>
              <w:b/>
              <w:sz w:val="24"/>
              <w:szCs w:val="24"/>
            </w:rPr>
            <w:fldChar w:fldCharType="separate"/>
          </w:r>
          <w:r>
            <w:rPr>
              <w:rFonts w:hint="eastAsia" w:ascii="仿宋" w:hAnsi="仿宋" w:eastAsia="仿宋" w:cs="仿宋"/>
              <w:b/>
              <w:sz w:val="24"/>
              <w:szCs w:val="24"/>
            </w:rPr>
            <w:t>第五部分 附表</w:t>
          </w:r>
          <w:r>
            <w:rPr>
              <w:rFonts w:hint="eastAsia" w:ascii="仿宋" w:hAnsi="仿宋" w:eastAsia="仿宋" w:cs="仿宋"/>
              <w:b/>
              <w:sz w:val="24"/>
              <w:szCs w:val="24"/>
            </w:rPr>
            <w:tab/>
          </w:r>
          <w:r>
            <w:rPr>
              <w:rFonts w:hint="eastAsia" w:ascii="仿宋" w:hAnsi="仿宋" w:eastAsia="仿宋" w:cs="仿宋"/>
              <w:b/>
              <w:sz w:val="24"/>
              <w:szCs w:val="24"/>
            </w:rPr>
            <w:fldChar w:fldCharType="begin"/>
          </w:r>
          <w:r>
            <w:rPr>
              <w:rFonts w:hint="eastAsia" w:ascii="仿宋" w:hAnsi="仿宋" w:eastAsia="仿宋" w:cs="仿宋"/>
              <w:b/>
              <w:sz w:val="24"/>
              <w:szCs w:val="24"/>
            </w:rPr>
            <w:instrText xml:space="preserve"> PAGEREF _Toc15384 \h </w:instrText>
          </w:r>
          <w:r>
            <w:rPr>
              <w:rFonts w:hint="eastAsia" w:ascii="仿宋" w:hAnsi="仿宋" w:eastAsia="仿宋" w:cs="仿宋"/>
              <w:b/>
              <w:sz w:val="24"/>
              <w:szCs w:val="24"/>
            </w:rPr>
            <w:fldChar w:fldCharType="separate"/>
          </w:r>
          <w:r>
            <w:rPr>
              <w:rFonts w:hint="eastAsia" w:ascii="仿宋" w:hAnsi="仿宋" w:eastAsia="仿宋" w:cs="仿宋"/>
              <w:b/>
              <w:sz w:val="24"/>
              <w:szCs w:val="24"/>
            </w:rPr>
            <w:t>23</w:t>
          </w:r>
          <w:r>
            <w:rPr>
              <w:rFonts w:hint="eastAsia" w:ascii="仿宋" w:hAnsi="仿宋" w:eastAsia="仿宋" w:cs="仿宋"/>
              <w:b/>
              <w:sz w:val="24"/>
              <w:szCs w:val="24"/>
            </w:rPr>
            <w:fldChar w:fldCharType="end"/>
          </w:r>
          <w:r>
            <w:rPr>
              <w:rFonts w:hint="eastAsia" w:ascii="仿宋" w:hAnsi="仿宋" w:eastAsia="仿宋" w:cs="仿宋"/>
              <w:b/>
              <w:sz w:val="24"/>
              <w:szCs w:val="24"/>
            </w:rPr>
            <w:fldChar w:fldCharType="end"/>
          </w:r>
        </w:p>
        <w:p>
          <w:pPr>
            <w:pStyle w:val="34"/>
            <w:tabs>
              <w:tab w:val="right" w:leader="dot" w:pos="8306"/>
            </w:tabs>
            <w:rPr>
              <w:rFonts w:hint="eastAsia" w:ascii="仿宋" w:hAnsi="仿宋" w:eastAsia="仿宋" w:cs="仿宋"/>
              <w:sz w:val="22"/>
              <w:szCs w:val="22"/>
            </w:rPr>
          </w:pP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HYPERLINK \l _Toc7833 </w:instrText>
          </w:r>
          <w:r>
            <w:rPr>
              <w:rFonts w:hint="eastAsia" w:ascii="仿宋" w:hAnsi="仿宋" w:eastAsia="仿宋" w:cs="仿宋"/>
              <w:sz w:val="22"/>
              <w:szCs w:val="22"/>
            </w:rPr>
            <w:fldChar w:fldCharType="separate"/>
          </w:r>
          <w:r>
            <w:rPr>
              <w:rFonts w:hint="eastAsia" w:ascii="仿宋" w:hAnsi="仿宋" w:eastAsia="仿宋" w:cs="仿宋"/>
              <w:sz w:val="22"/>
              <w:szCs w:val="22"/>
            </w:rPr>
            <w:t>一、收</w:t>
          </w:r>
          <w:r>
            <w:rPr>
              <w:rFonts w:hint="eastAsia" w:ascii="仿宋" w:hAnsi="仿宋" w:eastAsia="仿宋" w:cs="仿宋"/>
              <w:bCs w:val="0"/>
              <w:sz w:val="22"/>
              <w:szCs w:val="22"/>
            </w:rPr>
            <w:t>入支出决算总表</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_Toc7833 \h </w:instrText>
          </w:r>
          <w:r>
            <w:rPr>
              <w:rFonts w:hint="eastAsia" w:ascii="仿宋" w:hAnsi="仿宋" w:eastAsia="仿宋" w:cs="仿宋"/>
              <w:sz w:val="22"/>
              <w:szCs w:val="22"/>
            </w:rPr>
            <w:fldChar w:fldCharType="separate"/>
          </w:r>
          <w:r>
            <w:rPr>
              <w:rFonts w:hint="eastAsia" w:ascii="仿宋" w:hAnsi="仿宋" w:eastAsia="仿宋" w:cs="仿宋"/>
              <w:sz w:val="22"/>
              <w:szCs w:val="22"/>
            </w:rPr>
            <w:t>23</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34"/>
            <w:tabs>
              <w:tab w:val="right" w:leader="dot" w:pos="8306"/>
            </w:tabs>
            <w:rPr>
              <w:rFonts w:hint="eastAsia" w:ascii="仿宋" w:hAnsi="仿宋" w:eastAsia="仿宋" w:cs="仿宋"/>
              <w:sz w:val="22"/>
              <w:szCs w:val="22"/>
            </w:rPr>
          </w:pP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HYPERLINK \l _Toc10355 </w:instrText>
          </w:r>
          <w:r>
            <w:rPr>
              <w:rFonts w:hint="eastAsia" w:ascii="仿宋" w:hAnsi="仿宋" w:eastAsia="仿宋" w:cs="仿宋"/>
              <w:sz w:val="22"/>
              <w:szCs w:val="22"/>
            </w:rPr>
            <w:fldChar w:fldCharType="separate"/>
          </w:r>
          <w:r>
            <w:rPr>
              <w:rFonts w:hint="eastAsia" w:ascii="仿宋" w:hAnsi="仿宋" w:eastAsia="仿宋" w:cs="仿宋"/>
              <w:sz w:val="22"/>
              <w:szCs w:val="22"/>
            </w:rPr>
            <w:t>二、收</w:t>
          </w:r>
          <w:r>
            <w:rPr>
              <w:rFonts w:hint="eastAsia" w:ascii="仿宋" w:hAnsi="仿宋" w:eastAsia="仿宋" w:cs="仿宋"/>
              <w:bCs w:val="0"/>
              <w:sz w:val="22"/>
              <w:szCs w:val="22"/>
            </w:rPr>
            <w:t>入决算表</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_Toc10355 \h </w:instrText>
          </w:r>
          <w:r>
            <w:rPr>
              <w:rFonts w:hint="eastAsia" w:ascii="仿宋" w:hAnsi="仿宋" w:eastAsia="仿宋" w:cs="仿宋"/>
              <w:sz w:val="22"/>
              <w:szCs w:val="22"/>
            </w:rPr>
            <w:fldChar w:fldCharType="separate"/>
          </w:r>
          <w:r>
            <w:rPr>
              <w:rFonts w:hint="eastAsia" w:ascii="仿宋" w:hAnsi="仿宋" w:eastAsia="仿宋" w:cs="仿宋"/>
              <w:sz w:val="22"/>
              <w:szCs w:val="22"/>
            </w:rPr>
            <w:t>23</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34"/>
            <w:tabs>
              <w:tab w:val="right" w:leader="dot" w:pos="8306"/>
            </w:tabs>
            <w:rPr>
              <w:rFonts w:hint="eastAsia" w:ascii="仿宋" w:hAnsi="仿宋" w:eastAsia="仿宋" w:cs="仿宋"/>
              <w:sz w:val="22"/>
              <w:szCs w:val="22"/>
            </w:rPr>
          </w:pP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HYPERLINK \l _Toc27007 </w:instrText>
          </w:r>
          <w:r>
            <w:rPr>
              <w:rFonts w:hint="eastAsia" w:ascii="仿宋" w:hAnsi="仿宋" w:eastAsia="仿宋" w:cs="仿宋"/>
              <w:sz w:val="22"/>
              <w:szCs w:val="22"/>
            </w:rPr>
            <w:fldChar w:fldCharType="separate"/>
          </w:r>
          <w:r>
            <w:rPr>
              <w:rFonts w:hint="eastAsia" w:ascii="仿宋" w:hAnsi="仿宋" w:eastAsia="仿宋" w:cs="仿宋"/>
              <w:bCs w:val="0"/>
              <w:sz w:val="22"/>
              <w:szCs w:val="22"/>
            </w:rPr>
            <w:t>三、</w:t>
          </w:r>
          <w:r>
            <w:rPr>
              <w:rFonts w:hint="eastAsia" w:ascii="仿宋" w:hAnsi="仿宋" w:eastAsia="仿宋" w:cs="仿宋"/>
              <w:sz w:val="22"/>
              <w:szCs w:val="22"/>
            </w:rPr>
            <w:t>支</w:t>
          </w:r>
          <w:r>
            <w:rPr>
              <w:rFonts w:hint="eastAsia" w:ascii="仿宋" w:hAnsi="仿宋" w:eastAsia="仿宋" w:cs="仿宋"/>
              <w:bCs w:val="0"/>
              <w:sz w:val="22"/>
              <w:szCs w:val="22"/>
            </w:rPr>
            <w:t>出决算表</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_Toc27007 \h </w:instrText>
          </w:r>
          <w:r>
            <w:rPr>
              <w:rFonts w:hint="eastAsia" w:ascii="仿宋" w:hAnsi="仿宋" w:eastAsia="仿宋" w:cs="仿宋"/>
              <w:sz w:val="22"/>
              <w:szCs w:val="22"/>
            </w:rPr>
            <w:fldChar w:fldCharType="separate"/>
          </w:r>
          <w:r>
            <w:rPr>
              <w:rFonts w:hint="eastAsia" w:ascii="仿宋" w:hAnsi="仿宋" w:eastAsia="仿宋" w:cs="仿宋"/>
              <w:sz w:val="22"/>
              <w:szCs w:val="22"/>
            </w:rPr>
            <w:t>23</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34"/>
            <w:tabs>
              <w:tab w:val="right" w:leader="dot" w:pos="8306"/>
            </w:tabs>
            <w:rPr>
              <w:rFonts w:hint="eastAsia" w:ascii="仿宋" w:hAnsi="仿宋" w:eastAsia="仿宋" w:cs="仿宋"/>
              <w:sz w:val="22"/>
              <w:szCs w:val="22"/>
            </w:rPr>
          </w:pP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HYPERLINK \l _Toc29313 </w:instrText>
          </w:r>
          <w:r>
            <w:rPr>
              <w:rFonts w:hint="eastAsia" w:ascii="仿宋" w:hAnsi="仿宋" w:eastAsia="仿宋" w:cs="仿宋"/>
              <w:sz w:val="22"/>
              <w:szCs w:val="22"/>
            </w:rPr>
            <w:fldChar w:fldCharType="separate"/>
          </w:r>
          <w:r>
            <w:rPr>
              <w:rFonts w:hint="eastAsia" w:ascii="仿宋" w:hAnsi="仿宋" w:eastAsia="仿宋" w:cs="仿宋"/>
              <w:bCs w:val="0"/>
              <w:sz w:val="22"/>
              <w:szCs w:val="22"/>
            </w:rPr>
            <w:t>四、</w:t>
          </w:r>
          <w:r>
            <w:rPr>
              <w:rFonts w:hint="eastAsia" w:ascii="仿宋" w:hAnsi="仿宋" w:eastAsia="仿宋" w:cs="仿宋"/>
              <w:sz w:val="22"/>
              <w:szCs w:val="22"/>
            </w:rPr>
            <w:t>财</w:t>
          </w:r>
          <w:r>
            <w:rPr>
              <w:rFonts w:hint="eastAsia" w:ascii="仿宋" w:hAnsi="仿宋" w:eastAsia="仿宋" w:cs="仿宋"/>
              <w:bCs w:val="0"/>
              <w:sz w:val="22"/>
              <w:szCs w:val="22"/>
            </w:rPr>
            <w:t>政拨款收入支出决算总表</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_Toc29313 \h </w:instrText>
          </w:r>
          <w:r>
            <w:rPr>
              <w:rFonts w:hint="eastAsia" w:ascii="仿宋" w:hAnsi="仿宋" w:eastAsia="仿宋" w:cs="仿宋"/>
              <w:sz w:val="22"/>
              <w:szCs w:val="22"/>
            </w:rPr>
            <w:fldChar w:fldCharType="separate"/>
          </w:r>
          <w:r>
            <w:rPr>
              <w:rFonts w:hint="eastAsia" w:ascii="仿宋" w:hAnsi="仿宋" w:eastAsia="仿宋" w:cs="仿宋"/>
              <w:sz w:val="22"/>
              <w:szCs w:val="22"/>
            </w:rPr>
            <w:t>23</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34"/>
            <w:tabs>
              <w:tab w:val="right" w:leader="dot" w:pos="8306"/>
            </w:tabs>
            <w:rPr>
              <w:rFonts w:hint="eastAsia" w:ascii="仿宋" w:hAnsi="仿宋" w:eastAsia="仿宋" w:cs="仿宋"/>
              <w:sz w:val="22"/>
              <w:szCs w:val="22"/>
            </w:rPr>
          </w:pP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HYPERLINK \l _Toc31549 </w:instrText>
          </w:r>
          <w:r>
            <w:rPr>
              <w:rFonts w:hint="eastAsia" w:ascii="仿宋" w:hAnsi="仿宋" w:eastAsia="仿宋" w:cs="仿宋"/>
              <w:sz w:val="22"/>
              <w:szCs w:val="22"/>
            </w:rPr>
            <w:fldChar w:fldCharType="separate"/>
          </w:r>
          <w:r>
            <w:rPr>
              <w:rFonts w:hint="eastAsia" w:ascii="仿宋" w:hAnsi="仿宋" w:eastAsia="仿宋" w:cs="仿宋"/>
              <w:bCs w:val="0"/>
              <w:sz w:val="22"/>
              <w:szCs w:val="22"/>
            </w:rPr>
            <w:t>五、</w:t>
          </w:r>
          <w:r>
            <w:rPr>
              <w:rFonts w:hint="eastAsia" w:ascii="仿宋" w:hAnsi="仿宋" w:eastAsia="仿宋" w:cs="仿宋"/>
              <w:sz w:val="22"/>
              <w:szCs w:val="22"/>
            </w:rPr>
            <w:t>财</w:t>
          </w:r>
          <w:r>
            <w:rPr>
              <w:rFonts w:hint="eastAsia" w:ascii="仿宋" w:hAnsi="仿宋" w:eastAsia="仿宋" w:cs="仿宋"/>
              <w:bCs w:val="0"/>
              <w:sz w:val="22"/>
              <w:szCs w:val="22"/>
            </w:rPr>
            <w:t>政拨款支出决算明细表</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_Toc31549 \h </w:instrText>
          </w:r>
          <w:r>
            <w:rPr>
              <w:rFonts w:hint="eastAsia" w:ascii="仿宋" w:hAnsi="仿宋" w:eastAsia="仿宋" w:cs="仿宋"/>
              <w:sz w:val="22"/>
              <w:szCs w:val="22"/>
            </w:rPr>
            <w:fldChar w:fldCharType="separate"/>
          </w:r>
          <w:r>
            <w:rPr>
              <w:rFonts w:hint="eastAsia" w:ascii="仿宋" w:hAnsi="仿宋" w:eastAsia="仿宋" w:cs="仿宋"/>
              <w:sz w:val="22"/>
              <w:szCs w:val="22"/>
            </w:rPr>
            <w:t>23</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34"/>
            <w:tabs>
              <w:tab w:val="right" w:leader="dot" w:pos="8306"/>
            </w:tabs>
            <w:rPr>
              <w:rFonts w:hint="eastAsia" w:ascii="仿宋" w:hAnsi="仿宋" w:eastAsia="仿宋" w:cs="仿宋"/>
              <w:sz w:val="22"/>
              <w:szCs w:val="22"/>
            </w:rPr>
          </w:pP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HYPERLINK \l _Toc7473 </w:instrText>
          </w:r>
          <w:r>
            <w:rPr>
              <w:rFonts w:hint="eastAsia" w:ascii="仿宋" w:hAnsi="仿宋" w:eastAsia="仿宋" w:cs="仿宋"/>
              <w:sz w:val="22"/>
              <w:szCs w:val="22"/>
            </w:rPr>
            <w:fldChar w:fldCharType="separate"/>
          </w:r>
          <w:r>
            <w:rPr>
              <w:rFonts w:hint="eastAsia" w:ascii="仿宋" w:hAnsi="仿宋" w:eastAsia="仿宋" w:cs="仿宋"/>
              <w:bCs w:val="0"/>
              <w:sz w:val="22"/>
              <w:szCs w:val="22"/>
            </w:rPr>
            <w:t>六、</w:t>
          </w:r>
          <w:r>
            <w:rPr>
              <w:rFonts w:hint="eastAsia" w:ascii="仿宋" w:hAnsi="仿宋" w:eastAsia="仿宋" w:cs="仿宋"/>
              <w:sz w:val="22"/>
              <w:szCs w:val="22"/>
            </w:rPr>
            <w:t>一</w:t>
          </w:r>
          <w:r>
            <w:rPr>
              <w:rFonts w:hint="eastAsia" w:ascii="仿宋" w:hAnsi="仿宋" w:eastAsia="仿宋" w:cs="仿宋"/>
              <w:bCs w:val="0"/>
              <w:sz w:val="22"/>
              <w:szCs w:val="22"/>
            </w:rPr>
            <w:t>般公共预算财政拨款支出决算表</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_Toc7473 \h </w:instrText>
          </w:r>
          <w:r>
            <w:rPr>
              <w:rFonts w:hint="eastAsia" w:ascii="仿宋" w:hAnsi="仿宋" w:eastAsia="仿宋" w:cs="仿宋"/>
              <w:sz w:val="22"/>
              <w:szCs w:val="22"/>
            </w:rPr>
            <w:fldChar w:fldCharType="separate"/>
          </w:r>
          <w:r>
            <w:rPr>
              <w:rFonts w:hint="eastAsia" w:ascii="仿宋" w:hAnsi="仿宋" w:eastAsia="仿宋" w:cs="仿宋"/>
              <w:sz w:val="22"/>
              <w:szCs w:val="22"/>
            </w:rPr>
            <w:t>23</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34"/>
            <w:tabs>
              <w:tab w:val="right" w:leader="dot" w:pos="8306"/>
            </w:tabs>
            <w:rPr>
              <w:rFonts w:hint="eastAsia" w:ascii="仿宋" w:hAnsi="仿宋" w:eastAsia="仿宋" w:cs="仿宋"/>
              <w:sz w:val="22"/>
              <w:szCs w:val="22"/>
            </w:rPr>
          </w:pP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HYPERLINK \l _Toc19601 </w:instrText>
          </w:r>
          <w:r>
            <w:rPr>
              <w:rFonts w:hint="eastAsia" w:ascii="仿宋" w:hAnsi="仿宋" w:eastAsia="仿宋" w:cs="仿宋"/>
              <w:sz w:val="22"/>
              <w:szCs w:val="22"/>
            </w:rPr>
            <w:fldChar w:fldCharType="separate"/>
          </w:r>
          <w:r>
            <w:rPr>
              <w:rFonts w:hint="eastAsia" w:ascii="仿宋" w:hAnsi="仿宋" w:eastAsia="仿宋" w:cs="仿宋"/>
              <w:bCs w:val="0"/>
              <w:sz w:val="22"/>
              <w:szCs w:val="22"/>
            </w:rPr>
            <w:t>七、</w:t>
          </w:r>
          <w:r>
            <w:rPr>
              <w:rFonts w:hint="eastAsia" w:ascii="仿宋" w:hAnsi="仿宋" w:eastAsia="仿宋" w:cs="仿宋"/>
              <w:sz w:val="22"/>
              <w:szCs w:val="22"/>
            </w:rPr>
            <w:t>一</w:t>
          </w:r>
          <w:r>
            <w:rPr>
              <w:rFonts w:hint="eastAsia" w:ascii="仿宋" w:hAnsi="仿宋" w:eastAsia="仿宋" w:cs="仿宋"/>
              <w:bCs w:val="0"/>
              <w:sz w:val="22"/>
              <w:szCs w:val="22"/>
            </w:rPr>
            <w:t>般公共预算财政拨款支出决算明细表</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_Toc19601 \h </w:instrText>
          </w:r>
          <w:r>
            <w:rPr>
              <w:rFonts w:hint="eastAsia" w:ascii="仿宋" w:hAnsi="仿宋" w:eastAsia="仿宋" w:cs="仿宋"/>
              <w:sz w:val="22"/>
              <w:szCs w:val="22"/>
            </w:rPr>
            <w:fldChar w:fldCharType="separate"/>
          </w:r>
          <w:r>
            <w:rPr>
              <w:rFonts w:hint="eastAsia" w:ascii="仿宋" w:hAnsi="仿宋" w:eastAsia="仿宋" w:cs="仿宋"/>
              <w:sz w:val="22"/>
              <w:szCs w:val="22"/>
            </w:rPr>
            <w:t>23</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34"/>
            <w:tabs>
              <w:tab w:val="right" w:leader="dot" w:pos="8306"/>
            </w:tabs>
            <w:rPr>
              <w:rFonts w:hint="eastAsia" w:ascii="仿宋" w:hAnsi="仿宋" w:eastAsia="仿宋" w:cs="仿宋"/>
              <w:sz w:val="22"/>
              <w:szCs w:val="22"/>
            </w:rPr>
          </w:pP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HYPERLINK \l _Toc25003 </w:instrText>
          </w:r>
          <w:r>
            <w:rPr>
              <w:rFonts w:hint="eastAsia" w:ascii="仿宋" w:hAnsi="仿宋" w:eastAsia="仿宋" w:cs="仿宋"/>
              <w:sz w:val="22"/>
              <w:szCs w:val="22"/>
            </w:rPr>
            <w:fldChar w:fldCharType="separate"/>
          </w:r>
          <w:r>
            <w:rPr>
              <w:rFonts w:hint="eastAsia" w:ascii="仿宋" w:hAnsi="仿宋" w:eastAsia="仿宋" w:cs="仿宋"/>
              <w:bCs w:val="0"/>
              <w:sz w:val="22"/>
              <w:szCs w:val="22"/>
            </w:rPr>
            <w:t>八、</w:t>
          </w:r>
          <w:r>
            <w:rPr>
              <w:rFonts w:hint="eastAsia" w:ascii="仿宋" w:hAnsi="仿宋" w:eastAsia="仿宋" w:cs="仿宋"/>
              <w:sz w:val="22"/>
              <w:szCs w:val="22"/>
            </w:rPr>
            <w:t>一</w:t>
          </w:r>
          <w:r>
            <w:rPr>
              <w:rFonts w:hint="eastAsia" w:ascii="仿宋" w:hAnsi="仿宋" w:eastAsia="仿宋" w:cs="仿宋"/>
              <w:bCs w:val="0"/>
              <w:sz w:val="22"/>
              <w:szCs w:val="22"/>
            </w:rPr>
            <w:t>般公共预算财政拨款基本支出决算表</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_Toc25003 \h </w:instrText>
          </w:r>
          <w:r>
            <w:rPr>
              <w:rFonts w:hint="eastAsia" w:ascii="仿宋" w:hAnsi="仿宋" w:eastAsia="仿宋" w:cs="仿宋"/>
              <w:sz w:val="22"/>
              <w:szCs w:val="22"/>
            </w:rPr>
            <w:fldChar w:fldCharType="separate"/>
          </w:r>
          <w:r>
            <w:rPr>
              <w:rFonts w:hint="eastAsia" w:ascii="仿宋" w:hAnsi="仿宋" w:eastAsia="仿宋" w:cs="仿宋"/>
              <w:sz w:val="22"/>
              <w:szCs w:val="22"/>
            </w:rPr>
            <w:t>23</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34"/>
            <w:tabs>
              <w:tab w:val="right" w:leader="dot" w:pos="8306"/>
            </w:tabs>
            <w:rPr>
              <w:rFonts w:hint="eastAsia" w:ascii="仿宋" w:hAnsi="仿宋" w:eastAsia="仿宋" w:cs="仿宋"/>
              <w:sz w:val="22"/>
              <w:szCs w:val="22"/>
            </w:rPr>
          </w:pP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HYPERLINK \l _Toc20441 </w:instrText>
          </w:r>
          <w:r>
            <w:rPr>
              <w:rFonts w:hint="eastAsia" w:ascii="仿宋" w:hAnsi="仿宋" w:eastAsia="仿宋" w:cs="仿宋"/>
              <w:sz w:val="22"/>
              <w:szCs w:val="22"/>
            </w:rPr>
            <w:fldChar w:fldCharType="separate"/>
          </w:r>
          <w:r>
            <w:rPr>
              <w:rFonts w:hint="eastAsia" w:ascii="仿宋" w:hAnsi="仿宋" w:eastAsia="仿宋" w:cs="仿宋"/>
              <w:bCs w:val="0"/>
              <w:sz w:val="22"/>
              <w:szCs w:val="22"/>
            </w:rPr>
            <w:t>九、</w:t>
          </w:r>
          <w:r>
            <w:rPr>
              <w:rFonts w:hint="eastAsia" w:ascii="仿宋" w:hAnsi="仿宋" w:eastAsia="仿宋" w:cs="仿宋"/>
              <w:sz w:val="22"/>
              <w:szCs w:val="22"/>
            </w:rPr>
            <w:t>一</w:t>
          </w:r>
          <w:r>
            <w:rPr>
              <w:rFonts w:hint="eastAsia" w:ascii="仿宋" w:hAnsi="仿宋" w:eastAsia="仿宋" w:cs="仿宋"/>
              <w:bCs w:val="0"/>
              <w:sz w:val="22"/>
              <w:szCs w:val="22"/>
            </w:rPr>
            <w:t>般公共预算财政拨款项目支出决算表</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_Toc20441 \h </w:instrText>
          </w:r>
          <w:r>
            <w:rPr>
              <w:rFonts w:hint="eastAsia" w:ascii="仿宋" w:hAnsi="仿宋" w:eastAsia="仿宋" w:cs="仿宋"/>
              <w:sz w:val="22"/>
              <w:szCs w:val="22"/>
            </w:rPr>
            <w:fldChar w:fldCharType="separate"/>
          </w:r>
          <w:r>
            <w:rPr>
              <w:rFonts w:hint="eastAsia" w:ascii="仿宋" w:hAnsi="仿宋" w:eastAsia="仿宋" w:cs="仿宋"/>
              <w:sz w:val="22"/>
              <w:szCs w:val="22"/>
            </w:rPr>
            <w:t>23</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34"/>
            <w:tabs>
              <w:tab w:val="right" w:leader="dot" w:pos="8306"/>
            </w:tabs>
            <w:rPr>
              <w:rFonts w:hint="eastAsia" w:ascii="仿宋" w:hAnsi="仿宋" w:eastAsia="仿宋" w:cs="仿宋"/>
              <w:sz w:val="22"/>
              <w:szCs w:val="22"/>
            </w:rPr>
          </w:pP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HYPERLINK \l _Toc30540 </w:instrText>
          </w:r>
          <w:r>
            <w:rPr>
              <w:rFonts w:hint="eastAsia" w:ascii="仿宋" w:hAnsi="仿宋" w:eastAsia="仿宋" w:cs="仿宋"/>
              <w:sz w:val="22"/>
              <w:szCs w:val="22"/>
            </w:rPr>
            <w:fldChar w:fldCharType="separate"/>
          </w:r>
          <w:r>
            <w:rPr>
              <w:rFonts w:hint="eastAsia" w:ascii="仿宋" w:hAnsi="仿宋" w:eastAsia="仿宋" w:cs="仿宋"/>
              <w:bCs w:val="0"/>
              <w:sz w:val="22"/>
              <w:szCs w:val="22"/>
            </w:rPr>
            <w:t>十、</w:t>
          </w:r>
          <w:r>
            <w:rPr>
              <w:rFonts w:hint="eastAsia" w:ascii="仿宋" w:hAnsi="仿宋" w:eastAsia="仿宋" w:cs="仿宋"/>
              <w:sz w:val="22"/>
              <w:szCs w:val="22"/>
            </w:rPr>
            <w:t>一</w:t>
          </w:r>
          <w:r>
            <w:rPr>
              <w:rFonts w:hint="eastAsia" w:ascii="仿宋" w:hAnsi="仿宋" w:eastAsia="仿宋" w:cs="仿宋"/>
              <w:bCs w:val="0"/>
              <w:sz w:val="22"/>
              <w:szCs w:val="22"/>
            </w:rPr>
            <w:t>般公共预算财政拨款“三公”经费支出决算表</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_Toc30540 \h </w:instrText>
          </w:r>
          <w:r>
            <w:rPr>
              <w:rFonts w:hint="eastAsia" w:ascii="仿宋" w:hAnsi="仿宋" w:eastAsia="仿宋" w:cs="仿宋"/>
              <w:sz w:val="22"/>
              <w:szCs w:val="22"/>
            </w:rPr>
            <w:fldChar w:fldCharType="separate"/>
          </w:r>
          <w:r>
            <w:rPr>
              <w:rFonts w:hint="eastAsia" w:ascii="仿宋" w:hAnsi="仿宋" w:eastAsia="仿宋" w:cs="仿宋"/>
              <w:sz w:val="22"/>
              <w:szCs w:val="22"/>
            </w:rPr>
            <w:t>23</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34"/>
            <w:tabs>
              <w:tab w:val="right" w:leader="dot" w:pos="8306"/>
            </w:tabs>
            <w:rPr>
              <w:rFonts w:hint="eastAsia" w:ascii="仿宋" w:hAnsi="仿宋" w:eastAsia="仿宋" w:cs="仿宋"/>
              <w:sz w:val="22"/>
              <w:szCs w:val="22"/>
            </w:rPr>
          </w:pP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HYPERLINK \l _Toc31660 </w:instrText>
          </w:r>
          <w:r>
            <w:rPr>
              <w:rFonts w:hint="eastAsia" w:ascii="仿宋" w:hAnsi="仿宋" w:eastAsia="仿宋" w:cs="仿宋"/>
              <w:sz w:val="22"/>
              <w:szCs w:val="22"/>
            </w:rPr>
            <w:fldChar w:fldCharType="separate"/>
          </w:r>
          <w:r>
            <w:rPr>
              <w:rFonts w:hint="eastAsia" w:ascii="仿宋" w:hAnsi="仿宋" w:eastAsia="仿宋" w:cs="仿宋"/>
              <w:bCs w:val="0"/>
              <w:sz w:val="22"/>
              <w:szCs w:val="22"/>
            </w:rPr>
            <w:t>十一、</w:t>
          </w:r>
          <w:r>
            <w:rPr>
              <w:rFonts w:hint="eastAsia" w:ascii="仿宋" w:hAnsi="仿宋" w:eastAsia="仿宋" w:cs="仿宋"/>
              <w:sz w:val="22"/>
              <w:szCs w:val="22"/>
            </w:rPr>
            <w:t>政</w:t>
          </w:r>
          <w:r>
            <w:rPr>
              <w:rFonts w:hint="eastAsia" w:ascii="仿宋" w:hAnsi="仿宋" w:eastAsia="仿宋" w:cs="仿宋"/>
              <w:bCs w:val="0"/>
              <w:sz w:val="22"/>
              <w:szCs w:val="22"/>
            </w:rPr>
            <w:t>府性基金预算财政拨款收入支出决算表</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_Toc31660 \h </w:instrText>
          </w:r>
          <w:r>
            <w:rPr>
              <w:rFonts w:hint="eastAsia" w:ascii="仿宋" w:hAnsi="仿宋" w:eastAsia="仿宋" w:cs="仿宋"/>
              <w:sz w:val="22"/>
              <w:szCs w:val="22"/>
            </w:rPr>
            <w:fldChar w:fldCharType="separate"/>
          </w:r>
          <w:r>
            <w:rPr>
              <w:rFonts w:hint="eastAsia" w:ascii="仿宋" w:hAnsi="仿宋" w:eastAsia="仿宋" w:cs="仿宋"/>
              <w:sz w:val="22"/>
              <w:szCs w:val="22"/>
            </w:rPr>
            <w:t>23</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34"/>
            <w:tabs>
              <w:tab w:val="right" w:leader="dot" w:pos="8306"/>
            </w:tabs>
            <w:rPr>
              <w:rFonts w:hint="eastAsia" w:ascii="仿宋" w:hAnsi="仿宋" w:eastAsia="仿宋" w:cs="仿宋"/>
              <w:sz w:val="22"/>
              <w:szCs w:val="22"/>
            </w:rPr>
          </w:pP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HYPERLINK \l _Toc19532 </w:instrText>
          </w:r>
          <w:r>
            <w:rPr>
              <w:rFonts w:hint="eastAsia" w:ascii="仿宋" w:hAnsi="仿宋" w:eastAsia="仿宋" w:cs="仿宋"/>
              <w:sz w:val="22"/>
              <w:szCs w:val="22"/>
            </w:rPr>
            <w:fldChar w:fldCharType="separate"/>
          </w:r>
          <w:r>
            <w:rPr>
              <w:rFonts w:hint="eastAsia" w:ascii="仿宋" w:hAnsi="仿宋" w:eastAsia="仿宋" w:cs="仿宋"/>
              <w:bCs w:val="0"/>
              <w:sz w:val="22"/>
              <w:szCs w:val="22"/>
            </w:rPr>
            <w:t>十二、</w:t>
          </w:r>
          <w:r>
            <w:rPr>
              <w:rFonts w:hint="eastAsia" w:ascii="仿宋" w:hAnsi="仿宋" w:eastAsia="仿宋" w:cs="仿宋"/>
              <w:sz w:val="22"/>
              <w:szCs w:val="22"/>
            </w:rPr>
            <w:t>政</w:t>
          </w:r>
          <w:r>
            <w:rPr>
              <w:rFonts w:hint="eastAsia" w:ascii="仿宋" w:hAnsi="仿宋" w:eastAsia="仿宋" w:cs="仿宋"/>
              <w:bCs w:val="0"/>
              <w:sz w:val="22"/>
              <w:szCs w:val="22"/>
            </w:rPr>
            <w:t>府性基金预算财政拨款“三公”经费支出决算表</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_Toc19532 \h </w:instrText>
          </w:r>
          <w:r>
            <w:rPr>
              <w:rFonts w:hint="eastAsia" w:ascii="仿宋" w:hAnsi="仿宋" w:eastAsia="仿宋" w:cs="仿宋"/>
              <w:sz w:val="22"/>
              <w:szCs w:val="22"/>
            </w:rPr>
            <w:fldChar w:fldCharType="separate"/>
          </w:r>
          <w:r>
            <w:rPr>
              <w:rFonts w:hint="eastAsia" w:ascii="仿宋" w:hAnsi="仿宋" w:eastAsia="仿宋" w:cs="仿宋"/>
              <w:sz w:val="22"/>
              <w:szCs w:val="22"/>
            </w:rPr>
            <w:t>23</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34"/>
            <w:tabs>
              <w:tab w:val="right" w:leader="dot" w:pos="8306"/>
            </w:tabs>
            <w:rPr>
              <w:rFonts w:hint="eastAsia" w:ascii="仿宋" w:hAnsi="仿宋" w:eastAsia="仿宋" w:cs="仿宋"/>
              <w:sz w:val="22"/>
              <w:szCs w:val="22"/>
            </w:rPr>
          </w:pP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HYPERLINK \l _Toc5981 </w:instrText>
          </w:r>
          <w:r>
            <w:rPr>
              <w:rFonts w:hint="eastAsia" w:ascii="仿宋" w:hAnsi="仿宋" w:eastAsia="仿宋" w:cs="仿宋"/>
              <w:sz w:val="22"/>
              <w:szCs w:val="22"/>
            </w:rPr>
            <w:fldChar w:fldCharType="separate"/>
          </w:r>
          <w:r>
            <w:rPr>
              <w:rFonts w:hint="eastAsia" w:ascii="仿宋" w:hAnsi="仿宋" w:eastAsia="仿宋" w:cs="仿宋"/>
              <w:bCs w:val="0"/>
              <w:sz w:val="22"/>
              <w:szCs w:val="22"/>
            </w:rPr>
            <w:t>十三、</w:t>
          </w:r>
          <w:r>
            <w:rPr>
              <w:rFonts w:hint="eastAsia" w:ascii="仿宋" w:hAnsi="仿宋" w:eastAsia="仿宋" w:cs="仿宋"/>
              <w:sz w:val="22"/>
              <w:szCs w:val="22"/>
            </w:rPr>
            <w:t>国</w:t>
          </w:r>
          <w:r>
            <w:rPr>
              <w:rFonts w:hint="eastAsia" w:ascii="仿宋" w:hAnsi="仿宋" w:eastAsia="仿宋" w:cs="仿宋"/>
              <w:bCs w:val="0"/>
              <w:sz w:val="22"/>
              <w:szCs w:val="22"/>
            </w:rPr>
            <w:t>有资本经营预算财政拨款收入支出决算表</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_Toc5981 \h </w:instrText>
          </w:r>
          <w:r>
            <w:rPr>
              <w:rFonts w:hint="eastAsia" w:ascii="仿宋" w:hAnsi="仿宋" w:eastAsia="仿宋" w:cs="仿宋"/>
              <w:sz w:val="22"/>
              <w:szCs w:val="22"/>
            </w:rPr>
            <w:fldChar w:fldCharType="separate"/>
          </w:r>
          <w:r>
            <w:rPr>
              <w:rFonts w:hint="eastAsia" w:ascii="仿宋" w:hAnsi="仿宋" w:eastAsia="仿宋" w:cs="仿宋"/>
              <w:sz w:val="22"/>
              <w:szCs w:val="22"/>
            </w:rPr>
            <w:t>23</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34"/>
            <w:tabs>
              <w:tab w:val="right" w:leader="dot" w:pos="8306"/>
            </w:tabs>
            <w:rPr>
              <w:rFonts w:hint="eastAsia" w:ascii="仿宋" w:hAnsi="仿宋" w:eastAsia="仿宋" w:cs="仿宋"/>
              <w:sz w:val="22"/>
              <w:szCs w:val="22"/>
            </w:rPr>
          </w:pP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HYPERLINK \l _Toc15561 </w:instrText>
          </w:r>
          <w:r>
            <w:rPr>
              <w:rFonts w:hint="eastAsia" w:ascii="仿宋" w:hAnsi="仿宋" w:eastAsia="仿宋" w:cs="仿宋"/>
              <w:sz w:val="22"/>
              <w:szCs w:val="22"/>
            </w:rPr>
            <w:fldChar w:fldCharType="separate"/>
          </w:r>
          <w:r>
            <w:rPr>
              <w:rFonts w:hint="eastAsia" w:ascii="仿宋" w:hAnsi="仿宋" w:eastAsia="仿宋" w:cs="仿宋"/>
              <w:bCs w:val="0"/>
              <w:sz w:val="22"/>
              <w:szCs w:val="22"/>
            </w:rPr>
            <w:t>十四、国有资本经营预算财政拨款支出决算表</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_Toc15561 \h </w:instrText>
          </w:r>
          <w:r>
            <w:rPr>
              <w:rFonts w:hint="eastAsia" w:ascii="仿宋" w:hAnsi="仿宋" w:eastAsia="仿宋" w:cs="仿宋"/>
              <w:sz w:val="22"/>
              <w:szCs w:val="22"/>
            </w:rPr>
            <w:fldChar w:fldCharType="separate"/>
          </w:r>
          <w:r>
            <w:rPr>
              <w:rFonts w:hint="eastAsia" w:ascii="仿宋" w:hAnsi="仿宋" w:eastAsia="仿宋" w:cs="仿宋"/>
              <w:sz w:val="22"/>
              <w:szCs w:val="22"/>
            </w:rPr>
            <w:t>23</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widowControl/>
            <w:adjustRightInd w:val="0"/>
            <w:snapToGrid w:val="0"/>
            <w:spacing w:line="440" w:lineRule="exact"/>
            <w:ind w:firstLine="1160" w:firstLineChars="550"/>
            <w:jc w:val="left"/>
            <w:rPr>
              <w:rFonts w:hint="eastAsia" w:ascii="黑体" w:hAnsi="黑体" w:eastAsia="黑体"/>
              <w:b w:val="0"/>
            </w:rPr>
          </w:pPr>
          <w:r>
            <w:rPr>
              <w:rFonts w:ascii="仿宋" w:hAnsi="仿宋" w:eastAsia="仿宋"/>
              <w:b/>
            </w:rPr>
            <w:fldChar w:fldCharType="end"/>
          </w:r>
          <w:bookmarkStart w:id="16" w:name="_Toc15377196"/>
          <w:bookmarkStart w:id="17" w:name="_Toc15396599"/>
          <w:bookmarkStart w:id="18" w:name="_Toc114325687"/>
          <w:bookmarkStart w:id="19" w:name="_Toc28417"/>
        </w:p>
      </w:sdtContent>
    </w:sdt>
    <w:p>
      <w:pPr>
        <w:pStyle w:val="3"/>
        <w:ind w:firstLine="2200" w:firstLineChars="500"/>
        <w:jc w:val="both"/>
        <w:rPr>
          <w:rStyle w:val="25"/>
          <w:rFonts w:ascii="黑体" w:hAnsi="黑体" w:eastAsia="黑体"/>
          <w:b/>
          <w:bCs w:val="0"/>
        </w:rPr>
      </w:pPr>
      <w:r>
        <w:rPr>
          <w:rFonts w:hint="eastAsia" w:ascii="黑体" w:hAnsi="黑体" w:eastAsia="黑体"/>
          <w:b w:val="0"/>
        </w:rPr>
        <w:t>第一部分 单位</w:t>
      </w:r>
      <w:r>
        <w:rPr>
          <w:rStyle w:val="25"/>
          <w:rFonts w:hint="eastAsia" w:ascii="黑体" w:hAnsi="黑体" w:eastAsia="黑体"/>
          <w:b w:val="0"/>
          <w:bCs w:val="0"/>
        </w:rPr>
        <w:t>概况</w:t>
      </w:r>
      <w:bookmarkEnd w:id="16"/>
      <w:bookmarkEnd w:id="17"/>
      <w:bookmarkEnd w:id="18"/>
      <w:bookmarkEnd w:id="19"/>
    </w:p>
    <w:p>
      <w:pPr>
        <w:widowControl/>
        <w:jc w:val="left"/>
        <w:rPr>
          <w:rFonts w:ascii="黑体" w:eastAsia="黑体"/>
          <w:sz w:val="32"/>
          <w:szCs w:val="32"/>
        </w:rPr>
      </w:pPr>
    </w:p>
    <w:p>
      <w:pPr>
        <w:pStyle w:val="4"/>
        <w:spacing w:line="580" w:lineRule="exact"/>
        <w:rPr>
          <w:rStyle w:val="26"/>
          <w:rFonts w:ascii="黑体" w:hAnsi="黑体" w:eastAsia="黑体"/>
          <w:b w:val="0"/>
          <w:bCs w:val="0"/>
        </w:rPr>
      </w:pPr>
      <w:bookmarkStart w:id="20" w:name="_Toc15396600"/>
      <w:bookmarkStart w:id="21" w:name="_Toc15377197"/>
      <w:r>
        <w:rPr>
          <w:rStyle w:val="26"/>
          <w:rFonts w:hint="eastAsia" w:ascii="黑体" w:hAnsi="黑体" w:eastAsia="黑体"/>
          <w:b w:val="0"/>
          <w:bCs w:val="0"/>
        </w:rPr>
        <w:t xml:space="preserve">     </w:t>
      </w:r>
      <w:bookmarkStart w:id="22" w:name="_Toc114325688"/>
      <w:bookmarkStart w:id="23" w:name="_Toc31472"/>
      <w:r>
        <w:rPr>
          <w:rStyle w:val="26"/>
          <w:rFonts w:hint="eastAsia" w:ascii="黑体" w:hAnsi="黑体" w:eastAsia="黑体"/>
          <w:b w:val="0"/>
          <w:bCs w:val="0"/>
        </w:rPr>
        <w:t>一、职能简介</w:t>
      </w:r>
      <w:bookmarkEnd w:id="22"/>
      <w:bookmarkEnd w:id="23"/>
    </w:p>
    <w:p>
      <w:pPr>
        <w:spacing w:line="580" w:lineRule="exact"/>
        <w:ind w:firstLine="716" w:firstLineChars="224"/>
        <w:rPr>
          <w:rFonts w:ascii="仿宋" w:hAnsi="仿宋" w:eastAsia="仿宋"/>
          <w:sz w:val="32"/>
          <w:szCs w:val="32"/>
        </w:rPr>
      </w:pPr>
      <w:r>
        <w:rPr>
          <w:rFonts w:hint="eastAsia" w:ascii="仿宋" w:hAnsi="仿宋" w:eastAsia="仿宋"/>
          <w:sz w:val="32"/>
          <w:szCs w:val="32"/>
        </w:rPr>
        <w:t>内江市疾病预防控制中心是市级公益性卫生事业单位，为独立核算、独立编制公共预算财政拨款机构。其</w:t>
      </w:r>
      <w:r>
        <w:rPr>
          <w:rFonts w:hint="eastAsia" w:ascii="仿宋" w:hAnsi="仿宋" w:eastAsia="仿宋"/>
          <w:sz w:val="32"/>
          <w:szCs w:val="32"/>
          <w:lang w:eastAsia="zh-CN"/>
        </w:rPr>
        <w:t>主要七大</w:t>
      </w:r>
      <w:r>
        <w:rPr>
          <w:rFonts w:hint="eastAsia" w:ascii="仿宋" w:hAnsi="仿宋" w:eastAsia="仿宋"/>
          <w:sz w:val="32"/>
          <w:szCs w:val="32"/>
        </w:rPr>
        <w:t>职能是：疾病预防与控制、突发公共卫生事件应急处置、疫情报告及健康相关因素信息管理、健康危害因素监测与干预、实验室检测分析与评价、健康教育与健康促进、技术管理与应用研究指导。</w:t>
      </w:r>
    </w:p>
    <w:p>
      <w:pPr>
        <w:pStyle w:val="4"/>
        <w:spacing w:line="580" w:lineRule="exact"/>
        <w:ind w:firstLine="640" w:firstLineChars="200"/>
        <w:rPr>
          <w:rFonts w:ascii="黑体" w:hAnsi="黑体" w:eastAsia="黑体"/>
          <w:b w:val="0"/>
        </w:rPr>
      </w:pPr>
      <w:bookmarkStart w:id="24" w:name="_Toc114325689"/>
      <w:bookmarkStart w:id="25" w:name="_Toc19713"/>
      <w:r>
        <w:rPr>
          <w:rFonts w:hint="eastAsia" w:ascii="黑体" w:hAnsi="黑体" w:eastAsia="黑体"/>
          <w:b w:val="0"/>
        </w:rPr>
        <w:t>二、2021年重点工作</w:t>
      </w:r>
      <w:bookmarkEnd w:id="20"/>
      <w:bookmarkEnd w:id="21"/>
      <w:r>
        <w:rPr>
          <w:rFonts w:hint="eastAsia" w:ascii="黑体" w:hAnsi="黑体" w:eastAsia="黑体"/>
          <w:b w:val="0"/>
        </w:rPr>
        <w:t>完成情况</w:t>
      </w:r>
      <w:bookmarkEnd w:id="24"/>
      <w:bookmarkEnd w:id="25"/>
    </w:p>
    <w:p>
      <w:pPr>
        <w:spacing w:line="360" w:lineRule="auto"/>
        <w:ind w:firstLine="640" w:firstLineChars="200"/>
        <w:rPr>
          <w:rFonts w:ascii="仿宋" w:hAnsi="仿宋" w:eastAsia="仿宋"/>
          <w:sz w:val="32"/>
          <w:szCs w:val="32"/>
        </w:rPr>
      </w:pPr>
      <w:r>
        <w:rPr>
          <w:rFonts w:hint="eastAsia" w:ascii="仿宋" w:hAnsi="仿宋" w:eastAsia="仿宋"/>
          <w:sz w:val="32"/>
          <w:szCs w:val="32"/>
        </w:rPr>
        <w:t>1.切实做好新冠疫情防控工作。一是中心优化疫情防控机制流程，组织制定15个工作流程，建立可疑阳性报告机制，为疫情初期处置提出科学依据；二是强化监测预警机制，全市累计开展重点人群核酸检测200余万人次，累计开展对食品冷链等环境样本12万余份；三是开展流调溯源人员协查，共对14名红码人员、境外返内人员开展流行病学调查，及时隔离管控；对自贡1例无症状感染者的密切接触者开展追踪管控，排查次密87人。接收、反馈省内外协查函475份，协查密接44人、次密1049人；四是开展疫情分析研判。完成疫情防控动态400余期、专家专题研判报告60余期、周研判52期、月评估12期，针对性提出防控建议500余条，为党委政府提供科学依据。编写健康提示90余条，在中心公众号、最内江等平台发布；五是强化培训演练指导。开展应急演练6场，共计296人参演。开展各级疾控机构培训119期，培训人数11280人次。全年共派出专业技术人员157人次，开展指导16次，涉及各类单位、场所1562个；六是做好疫情保障。共派出专业技术人员216人次参加131场市委市政府组织的大型活动或会议的疫情防控指导和现场保障工作。派出检验检测人员106人次参与各类疫情防控保障的核酸采样，检测参加活动或会议代表、服务工作人员的核酸14241人份。确保我市各项大型会议、活动顺利举行。</w:t>
      </w:r>
    </w:p>
    <w:p>
      <w:pPr>
        <w:spacing w:line="360" w:lineRule="auto"/>
        <w:ind w:firstLine="640" w:firstLineChars="200"/>
        <w:rPr>
          <w:rFonts w:ascii="仿宋" w:hAnsi="仿宋" w:eastAsia="仿宋"/>
          <w:sz w:val="32"/>
          <w:szCs w:val="32"/>
        </w:rPr>
      </w:pPr>
      <w:r>
        <w:rPr>
          <w:rFonts w:hint="eastAsia" w:ascii="仿宋" w:hAnsi="仿宋" w:eastAsia="仿宋"/>
          <w:sz w:val="32"/>
          <w:szCs w:val="32"/>
        </w:rPr>
        <w:t>2.顺利完成各项疾控工作任务。2021年中心全面完成省、市下达的各项目标任务，传染病报告发病率496.17/10万，疫苗接种率99.42%，并取得了疾控工作综合排名居全省第五位的好成绩。</w:t>
      </w:r>
    </w:p>
    <w:p>
      <w:pPr>
        <w:spacing w:line="360" w:lineRule="auto"/>
        <w:ind w:firstLine="640" w:firstLineChars="200"/>
        <w:rPr>
          <w:rFonts w:ascii="仿宋" w:hAnsi="仿宋" w:eastAsia="仿宋"/>
          <w:sz w:val="32"/>
          <w:szCs w:val="32"/>
        </w:rPr>
      </w:pPr>
      <w:r>
        <w:rPr>
          <w:rFonts w:hint="eastAsia" w:ascii="仿宋" w:hAnsi="仿宋" w:eastAsia="仿宋"/>
          <w:sz w:val="32"/>
          <w:szCs w:val="32"/>
        </w:rPr>
        <w:t>3.按期圆满完成特别国债项目，为打造区域中心实验室奠定基础。2021年12月，中心</w:t>
      </w:r>
      <w:r>
        <w:rPr>
          <w:rFonts w:ascii="仿宋" w:hAnsi="仿宋" w:eastAsia="仿宋"/>
          <w:sz w:val="32"/>
          <w:szCs w:val="32"/>
        </w:rPr>
        <w:t>重点民生工程</w:t>
      </w:r>
      <w:r>
        <w:rPr>
          <w:rFonts w:hint="eastAsia" w:ascii="仿宋" w:hAnsi="仿宋" w:eastAsia="仿宋"/>
          <w:sz w:val="32"/>
          <w:szCs w:val="32"/>
        </w:rPr>
        <w:t>实验室改（扩）建项目顺利竣工验收，在十四五规划开局之年提前完成“建成10个P2实验室，5个负压实验室”的“十四五”规划目标。</w:t>
      </w:r>
    </w:p>
    <w:p>
      <w:pPr>
        <w:spacing w:line="360" w:lineRule="auto"/>
        <w:ind w:firstLine="640" w:firstLineChars="200"/>
        <w:rPr>
          <w:rFonts w:ascii="仿宋" w:hAnsi="仿宋" w:eastAsia="仿宋"/>
          <w:sz w:val="32"/>
          <w:szCs w:val="32"/>
        </w:rPr>
      </w:pPr>
      <w:r>
        <w:rPr>
          <w:rFonts w:hint="eastAsia" w:ascii="仿宋" w:hAnsi="仿宋" w:eastAsia="仿宋"/>
          <w:sz w:val="32"/>
          <w:szCs w:val="32"/>
        </w:rPr>
        <w:t>4.结核病防治健康宣传屡获殊荣。中心制作的结核病防治宣传视频《携手抗疫防痨、守护健康呼吸》荣获2021年全国结核病防控优秀科普作品，并被收入中国结核病防控健康教育资源库；参加中国防痨协会“分秘必争、终结结核”科普短视频挑战赛，荣获全国二等奖。</w:t>
      </w:r>
    </w:p>
    <w:p>
      <w:pPr>
        <w:spacing w:line="360" w:lineRule="auto"/>
        <w:ind w:firstLine="640" w:firstLineChars="200"/>
        <w:rPr>
          <w:rFonts w:ascii="仿宋" w:hAnsi="仿宋" w:eastAsia="仿宋"/>
          <w:sz w:val="32"/>
          <w:szCs w:val="32"/>
        </w:rPr>
      </w:pPr>
      <w:r>
        <w:rPr>
          <w:rFonts w:hint="eastAsia" w:ascii="仿宋" w:hAnsi="仿宋" w:eastAsia="仿宋"/>
          <w:sz w:val="32"/>
          <w:szCs w:val="32"/>
        </w:rPr>
        <w:t>5.荣获“2020年度四川省慢性病防控工作综合评估市级先进单位”</w:t>
      </w:r>
      <w:r>
        <w:rPr>
          <w:rFonts w:hint="eastAsia" w:ascii="仿宋" w:hAnsi="仿宋" w:eastAsia="仿宋"/>
        </w:rPr>
        <w:t>。</w:t>
      </w:r>
      <w:r>
        <w:rPr>
          <w:rFonts w:hint="eastAsia" w:ascii="仿宋" w:hAnsi="仿宋" w:eastAsia="仿宋"/>
          <w:sz w:val="32"/>
          <w:szCs w:val="32"/>
        </w:rPr>
        <w:t>全市慢性病防控工作以综合评估取得全省排名第一。</w:t>
      </w:r>
    </w:p>
    <w:p>
      <w:pPr>
        <w:spacing w:line="360" w:lineRule="auto"/>
        <w:ind w:firstLine="640" w:firstLineChars="200"/>
        <w:rPr>
          <w:rFonts w:ascii="仿宋" w:hAnsi="仿宋" w:eastAsia="仿宋"/>
          <w:sz w:val="32"/>
          <w:szCs w:val="32"/>
        </w:rPr>
      </w:pPr>
      <w:r>
        <w:rPr>
          <w:rFonts w:hint="eastAsia" w:ascii="仿宋" w:hAnsi="仿宋" w:eastAsia="仿宋"/>
          <w:sz w:val="32"/>
          <w:szCs w:val="32"/>
          <w:lang w:val="en-US" w:eastAsia="zh-CN"/>
        </w:rPr>
        <w:t>6</w:t>
      </w:r>
      <w:r>
        <w:rPr>
          <w:rFonts w:hint="eastAsia" w:ascii="仿宋" w:hAnsi="仿宋" w:eastAsia="仿宋"/>
          <w:sz w:val="32"/>
          <w:szCs w:val="32"/>
        </w:rPr>
        <w:t>.发挥示范区引领作用，巩固创建成果。2021年，市中区顺利通过国家级慢性病综合防控示范区复评审。市本级及市中区共有3个优秀案例入选四川省慢性病综合防控优秀案例集出版。</w:t>
      </w:r>
    </w:p>
    <w:p>
      <w:pPr>
        <w:spacing w:line="360" w:lineRule="auto"/>
        <w:ind w:firstLine="640" w:firstLineChars="200"/>
        <w:rPr>
          <w:rFonts w:ascii="仿宋" w:hAnsi="仿宋" w:eastAsia="仿宋"/>
          <w:sz w:val="32"/>
          <w:szCs w:val="32"/>
        </w:rPr>
      </w:pPr>
      <w:r>
        <w:rPr>
          <w:rFonts w:hint="eastAsia" w:ascii="仿宋" w:hAnsi="仿宋" w:eastAsia="仿宋"/>
          <w:sz w:val="32"/>
          <w:szCs w:val="32"/>
          <w:lang w:val="en-US" w:eastAsia="zh-CN"/>
        </w:rPr>
        <w:t>7</w:t>
      </w:r>
      <w:r>
        <w:rPr>
          <w:rFonts w:hint="eastAsia" w:ascii="仿宋" w:hAnsi="仿宋" w:eastAsia="仿宋"/>
          <w:sz w:val="32"/>
          <w:szCs w:val="32"/>
        </w:rPr>
        <w:t>.荣获“全省首批疫苗临床研究基地”称号。6月16日，内江市疾控中心作为四川省首批疫苗临床研究基地接受四川省疾病预防控制中心统一授牌。截至目前，内江市疾控中心共争取到疫苗临床研究项目5个，累计获得项目资金3000余万元。与此同时，带动我市市中区疾控中心、资中县疾控中心、威远县疾控中心一道成为四川省首批疫苗临床研究基地。</w:t>
      </w:r>
    </w:p>
    <w:p>
      <w:pPr>
        <w:spacing w:line="360" w:lineRule="auto"/>
        <w:ind w:firstLine="640" w:firstLineChars="200"/>
        <w:rPr>
          <w:rFonts w:ascii="仿宋" w:hAnsi="仿宋" w:eastAsia="仿宋"/>
          <w:sz w:val="32"/>
          <w:szCs w:val="32"/>
        </w:rPr>
      </w:pPr>
      <w:r>
        <w:rPr>
          <w:rFonts w:hint="eastAsia" w:ascii="仿宋" w:hAnsi="仿宋" w:eastAsia="仿宋"/>
          <w:sz w:val="32"/>
          <w:szCs w:val="32"/>
          <w:lang w:val="en-US" w:eastAsia="zh-CN"/>
        </w:rPr>
        <w:t>8</w:t>
      </w:r>
      <w:r>
        <w:rPr>
          <w:rFonts w:hint="eastAsia" w:ascii="仿宋" w:hAnsi="仿宋" w:eastAsia="仿宋"/>
          <w:sz w:val="32"/>
          <w:szCs w:val="32"/>
        </w:rPr>
        <w:t>.“5G+医疗健康”国家级项目通过专家评审。全力推动“数字疾控·智慧公卫”信息化综合平台二期建设项目，于2021年12月顺利通过专家组验收，标志着中心信息平台全面建成。同时，充分利用中心已有信息化建设工作基础和相关资源，与信息公司合作申报国家工信部、国家卫健委的“5G+医疗健康”项目试点，通过专家评审，正式纳入试点项目。</w:t>
      </w:r>
    </w:p>
    <w:p>
      <w:pPr>
        <w:pStyle w:val="2"/>
        <w:spacing w:before="93"/>
        <w:outlineLvl w:val="1"/>
        <w:rPr>
          <w:rFonts w:ascii="黑体" w:hAnsi="黑体" w:eastAsia="黑体" w:cstheme="majorBidi"/>
          <w:bCs/>
          <w:kern w:val="2"/>
          <w:sz w:val="32"/>
          <w:szCs w:val="32"/>
        </w:rPr>
      </w:pPr>
      <w:r>
        <w:rPr>
          <w:rFonts w:hint="eastAsia" w:ascii="黑体" w:hAnsi="黑体" w:eastAsia="黑体" w:cstheme="majorBidi"/>
          <w:bCs/>
          <w:kern w:val="2"/>
          <w:sz w:val="32"/>
          <w:szCs w:val="32"/>
        </w:rPr>
        <w:t xml:space="preserve"> </w:t>
      </w:r>
      <w:r>
        <w:rPr>
          <w:rStyle w:val="26"/>
          <w:rFonts w:hint="eastAsia" w:ascii="黑体" w:hAnsi="黑体" w:eastAsia="黑体"/>
          <w:b w:val="0"/>
          <w:bCs w:val="0"/>
          <w:lang w:val="en-US" w:eastAsia="zh-CN" w:bidi="ar-SA"/>
        </w:rPr>
        <w:t xml:space="preserve">   </w:t>
      </w:r>
      <w:bookmarkStart w:id="26" w:name="_Toc1246"/>
      <w:r>
        <w:rPr>
          <w:rStyle w:val="26"/>
          <w:rFonts w:hint="eastAsia" w:ascii="黑体" w:hAnsi="黑体" w:eastAsia="黑体"/>
          <w:b w:val="0"/>
          <w:bCs w:val="0"/>
          <w:lang w:val="en-US" w:eastAsia="zh-CN" w:bidi="ar-SA"/>
        </w:rPr>
        <w:t>三、机构设置</w:t>
      </w:r>
      <w:bookmarkEnd w:id="26"/>
    </w:p>
    <w:p>
      <w:pPr>
        <w:spacing w:line="360" w:lineRule="auto"/>
        <w:ind w:firstLine="640" w:firstLineChars="200"/>
        <w:rPr>
          <w:rFonts w:ascii="仿宋" w:hAnsi="仿宋" w:eastAsia="仿宋"/>
          <w:sz w:val="32"/>
          <w:szCs w:val="32"/>
        </w:rPr>
      </w:pPr>
      <w:r>
        <w:rPr>
          <w:rFonts w:hint="eastAsia" w:ascii="仿宋" w:hAnsi="仿宋" w:eastAsia="仿宋"/>
          <w:sz w:val="32"/>
          <w:szCs w:val="32"/>
        </w:rPr>
        <w:t>内江市疾病预防控制中心是内江市卫生健康委员会的下属二级单位，为财政全额拨款的事业单位，本单位无下设机构。内设传染病预防控制科、性病艾滋病防治科、结核病预防控制科、预防医学门诊部、免疫规划科、慢性病预防控制科、病媒生物防制科（地方病与寄生虫病预防控制科）、食品安全科、环境与学校卫生科、职业与辐射卫生科、健康教育科（卫生信息科）、微生物检验科、理化检验科、质控与科研科、应急办、办公室（后勤科）、党办（人事科、审计科）、财务科共18个科室。</w:t>
      </w:r>
    </w:p>
    <w:p>
      <w:pPr>
        <w:pStyle w:val="3"/>
        <w:ind w:right="440"/>
        <w:outlineLvl w:val="9"/>
        <w:rPr>
          <w:rFonts w:ascii="黑体" w:hAnsi="黑体" w:eastAsia="黑体"/>
          <w:b w:val="0"/>
        </w:rPr>
      </w:pPr>
      <w:bookmarkStart w:id="27" w:name="_Toc15377204"/>
      <w:bookmarkStart w:id="28" w:name="_Toc15396602"/>
    </w:p>
    <w:p>
      <w:pPr>
        <w:rPr>
          <w:rFonts w:ascii="黑体" w:hAnsi="黑体" w:eastAsia="黑体"/>
          <w:bCs/>
        </w:rPr>
      </w:pPr>
    </w:p>
    <w:p>
      <w:pPr>
        <w:pStyle w:val="11"/>
        <w:ind w:left="840" w:hanging="420"/>
        <w:rPr>
          <w:rFonts w:ascii="黑体" w:hAnsi="黑体" w:eastAsia="黑体"/>
          <w:bCs/>
        </w:rPr>
      </w:pPr>
    </w:p>
    <w:p>
      <w:pPr>
        <w:rPr>
          <w:rFonts w:ascii="黑体" w:hAnsi="黑体" w:eastAsia="黑体"/>
          <w:bCs/>
        </w:rPr>
      </w:pPr>
    </w:p>
    <w:p>
      <w:pPr>
        <w:pStyle w:val="11"/>
        <w:ind w:left="840" w:hanging="420"/>
        <w:rPr>
          <w:rFonts w:ascii="黑体" w:hAnsi="黑体" w:eastAsia="黑体"/>
          <w:bCs/>
        </w:rPr>
      </w:pPr>
    </w:p>
    <w:p>
      <w:pPr>
        <w:rPr>
          <w:rFonts w:ascii="黑体" w:hAnsi="黑体" w:eastAsia="黑体"/>
          <w:bCs/>
        </w:rPr>
      </w:pPr>
    </w:p>
    <w:p>
      <w:pPr>
        <w:pStyle w:val="11"/>
        <w:ind w:left="840" w:hanging="420"/>
        <w:rPr>
          <w:rFonts w:ascii="黑体" w:hAnsi="黑体" w:eastAsia="黑体"/>
          <w:bCs/>
        </w:rPr>
      </w:pPr>
    </w:p>
    <w:p>
      <w:pPr>
        <w:rPr>
          <w:rFonts w:ascii="黑体" w:hAnsi="黑体" w:eastAsia="黑体"/>
          <w:bCs/>
        </w:rPr>
      </w:pPr>
    </w:p>
    <w:p>
      <w:pPr>
        <w:pStyle w:val="11"/>
        <w:ind w:left="840" w:hanging="420"/>
        <w:rPr>
          <w:rFonts w:ascii="黑体" w:hAnsi="黑体" w:eastAsia="黑体"/>
          <w:bCs/>
        </w:rPr>
      </w:pPr>
    </w:p>
    <w:p>
      <w:pPr>
        <w:rPr>
          <w:rFonts w:ascii="黑体" w:hAnsi="黑体" w:eastAsia="黑体"/>
          <w:bCs/>
        </w:rPr>
      </w:pPr>
    </w:p>
    <w:p>
      <w:pPr>
        <w:pStyle w:val="11"/>
        <w:ind w:left="840" w:hanging="420"/>
        <w:rPr>
          <w:rFonts w:ascii="黑体" w:hAnsi="黑体" w:eastAsia="黑体"/>
          <w:bCs/>
        </w:rPr>
      </w:pPr>
    </w:p>
    <w:p>
      <w:pPr>
        <w:rPr>
          <w:rFonts w:ascii="黑体" w:hAnsi="黑体" w:eastAsia="黑体"/>
          <w:bCs/>
        </w:rPr>
      </w:pPr>
    </w:p>
    <w:p>
      <w:pPr>
        <w:pStyle w:val="11"/>
        <w:ind w:left="840" w:hanging="420"/>
        <w:rPr>
          <w:rFonts w:ascii="黑体" w:hAnsi="黑体" w:eastAsia="黑体"/>
          <w:bCs/>
        </w:rPr>
      </w:pPr>
    </w:p>
    <w:p>
      <w:pPr>
        <w:rPr>
          <w:rFonts w:ascii="黑体" w:hAnsi="黑体" w:eastAsia="黑体"/>
          <w:bCs/>
        </w:rPr>
      </w:pPr>
    </w:p>
    <w:p>
      <w:pPr>
        <w:pStyle w:val="11"/>
        <w:ind w:left="840" w:hanging="420"/>
        <w:rPr>
          <w:rFonts w:ascii="黑体" w:hAnsi="黑体" w:eastAsia="黑体"/>
          <w:bCs/>
        </w:rPr>
      </w:pPr>
    </w:p>
    <w:p/>
    <w:p>
      <w:pPr>
        <w:pStyle w:val="3"/>
        <w:ind w:right="440" w:firstLine="440" w:firstLineChars="100"/>
        <w:rPr>
          <w:rStyle w:val="25"/>
          <w:rFonts w:ascii="黑体" w:hAnsi="黑体" w:eastAsia="黑体"/>
          <w:b w:val="0"/>
          <w:bCs/>
        </w:rPr>
      </w:pPr>
      <w:bookmarkStart w:id="29" w:name="_Toc114325690"/>
      <w:bookmarkStart w:id="30" w:name="_Toc25609"/>
      <w:r>
        <w:rPr>
          <w:rFonts w:hint="eastAsia" w:ascii="黑体" w:hAnsi="黑体" w:eastAsia="黑体"/>
          <w:b w:val="0"/>
        </w:rPr>
        <w:t>第二部分 2021年度</w:t>
      </w:r>
      <w:r>
        <w:rPr>
          <w:rStyle w:val="25"/>
          <w:rFonts w:hint="eastAsia" w:ascii="黑体" w:hAnsi="黑体" w:eastAsia="黑体"/>
          <w:b w:val="0"/>
          <w:bCs/>
        </w:rPr>
        <w:t>单位决算情况说明</w:t>
      </w:r>
      <w:bookmarkEnd w:id="27"/>
      <w:bookmarkEnd w:id="28"/>
      <w:bookmarkEnd w:id="29"/>
      <w:bookmarkEnd w:id="30"/>
    </w:p>
    <w:p/>
    <w:p>
      <w:pPr>
        <w:pStyle w:val="24"/>
        <w:numPr>
          <w:ilvl w:val="0"/>
          <w:numId w:val="1"/>
        </w:numPr>
        <w:spacing w:line="600" w:lineRule="exact"/>
        <w:ind w:firstLineChars="0"/>
        <w:outlineLvl w:val="1"/>
        <w:rPr>
          <w:rStyle w:val="26"/>
          <w:rFonts w:ascii="黑体" w:hAnsi="黑体" w:eastAsia="黑体"/>
          <w:b w:val="0"/>
        </w:rPr>
      </w:pPr>
      <w:bookmarkStart w:id="31" w:name="_Toc114325691"/>
      <w:bookmarkStart w:id="32" w:name="_Toc15396603"/>
      <w:bookmarkStart w:id="33" w:name="_Toc15377205"/>
      <w:bookmarkStart w:id="34" w:name="_Toc16243"/>
      <w:r>
        <w:rPr>
          <w:rFonts w:hint="eastAsia" w:ascii="黑体" w:hAnsi="黑体" w:eastAsia="黑体"/>
          <w:sz w:val="32"/>
          <w:szCs w:val="32"/>
        </w:rPr>
        <w:t>收</w:t>
      </w:r>
      <w:r>
        <w:rPr>
          <w:rStyle w:val="26"/>
          <w:rFonts w:hint="eastAsia" w:ascii="黑体" w:hAnsi="黑体" w:eastAsia="黑体"/>
          <w:b w:val="0"/>
        </w:rPr>
        <w:t>入支出决算总体情况说明</w:t>
      </w:r>
      <w:bookmarkEnd w:id="31"/>
      <w:bookmarkEnd w:id="32"/>
      <w:bookmarkEnd w:id="33"/>
      <w:bookmarkEnd w:id="34"/>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sz w:val="32"/>
          <w:szCs w:val="32"/>
          <w:highlight w:val="yellow"/>
        </w:rPr>
      </w:pPr>
      <w:r>
        <w:rPr>
          <w:rFonts w:hint="eastAsia" w:ascii="仿宋" w:hAnsi="仿宋" w:eastAsia="仿宋"/>
          <w:sz w:val="32"/>
          <w:szCs w:val="32"/>
        </w:rPr>
        <w:t>2021年度收、支总计5806.95万元。与2020年相比，收、支总计各减少8157.96万元，下降58.42%。主要变动原因是2020年为进一步提高中心新冠疫情以及其他疾病应急防控能力，国家、省、市加大对疾病防控能力建设的投入，而2021年无此项收入。完成预算的95.59%</w:t>
      </w:r>
      <w:r>
        <w:rPr>
          <w:rFonts w:hint="eastAsia" w:ascii="仿宋" w:hAnsi="仿宋" w:eastAsia="仿宋"/>
          <w:sz w:val="32"/>
          <w:szCs w:val="32"/>
          <w:lang w:eastAsia="zh-CN"/>
        </w:rPr>
        <w:t>，决算数小于预算数的主要原因是</w:t>
      </w:r>
      <w:r>
        <w:rPr>
          <w:rFonts w:hint="eastAsia" w:ascii="仿宋_GB2312" w:eastAsia="仿宋_GB2312"/>
          <w:color w:val="auto"/>
          <w:sz w:val="32"/>
          <w:szCs w:val="32"/>
          <w:highlight w:val="none"/>
          <w:lang w:val="en-US" w:eastAsia="zh-CN"/>
        </w:rPr>
        <w:t>抗疫国债基础建设暂未列支的民工工资保证金</w:t>
      </w:r>
      <w:r>
        <w:rPr>
          <w:rFonts w:hint="eastAsia" w:ascii="仿宋" w:hAnsi="仿宋" w:eastAsia="仿宋"/>
          <w:sz w:val="32"/>
          <w:szCs w:val="32"/>
          <w:lang w:eastAsia="zh-CN"/>
        </w:rPr>
        <w:t>和疫苗临床基地结转资金，疫苗临床试验工作</w:t>
      </w:r>
      <w:r>
        <w:rPr>
          <w:rFonts w:hint="eastAsia" w:ascii="仿宋_GB2312" w:eastAsia="仿宋_GB2312"/>
          <w:color w:val="auto"/>
          <w:sz w:val="32"/>
          <w:szCs w:val="32"/>
          <w:highlight w:val="none"/>
          <w:lang w:val="en-US" w:eastAsia="zh-CN"/>
        </w:rPr>
        <w:t>延续时间较长，经费按研究工作完成进度使用</w:t>
      </w:r>
      <w:r>
        <w:rPr>
          <w:rFonts w:hint="eastAsia" w:ascii="仿宋" w:hAnsi="仿宋" w:eastAsia="仿宋"/>
          <w:sz w:val="32"/>
          <w:szCs w:val="32"/>
        </w:rPr>
        <w:t>。</w:t>
      </w:r>
    </w:p>
    <w:p>
      <w:pPr>
        <w:spacing w:line="600" w:lineRule="exact"/>
        <w:ind w:firstLine="1600" w:firstLineChars="500"/>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w:t>
      </w:r>
    </w:p>
    <w:p>
      <w:pPr>
        <w:pStyle w:val="11"/>
        <w:ind w:left="840" w:hanging="420"/>
        <w:rPr>
          <w:rFonts w:hint="default" w:eastAsia="宋体"/>
          <w:lang w:val="en-US" w:eastAsia="zh-CN"/>
        </w:rPr>
      </w:pPr>
      <w:r>
        <w:rPr>
          <w:rFonts w:hint="eastAsia"/>
          <w:lang w:val="en-US" w:eastAsia="zh-CN"/>
        </w:rPr>
        <w:t xml:space="preserve">                                                           </w:t>
      </w:r>
      <w:r>
        <w:rPr>
          <w:rFonts w:hint="eastAsia"/>
          <w:sz w:val="18"/>
          <w:szCs w:val="18"/>
          <w:lang w:val="en-US" w:eastAsia="zh-CN"/>
        </w:rPr>
        <w:t>单位：万元</w:t>
      </w:r>
    </w:p>
    <w:p>
      <w:pPr>
        <w:pStyle w:val="11"/>
        <w:ind w:left="840" w:hanging="420"/>
        <w:rPr>
          <w:rFonts w:ascii="仿宋" w:hAnsi="仿宋" w:eastAsia="仿宋"/>
          <w:sz w:val="32"/>
          <w:szCs w:val="32"/>
          <w:highlight w:val="yellow"/>
        </w:rPr>
      </w:pPr>
      <w:r>
        <w:drawing>
          <wp:inline distT="0" distB="0" distL="114300" distR="114300">
            <wp:extent cx="4572000" cy="2743200"/>
            <wp:effectExtent l="4445" t="4445" r="14605" b="1460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24"/>
        <w:spacing w:line="600" w:lineRule="exact"/>
        <w:ind w:firstLine="640"/>
        <w:outlineLvl w:val="1"/>
        <w:rPr>
          <w:rStyle w:val="26"/>
          <w:rFonts w:ascii="黑体" w:hAnsi="黑体" w:eastAsia="黑体"/>
          <w:b w:val="0"/>
        </w:rPr>
      </w:pPr>
      <w:bookmarkStart w:id="35" w:name="_Toc15396604"/>
      <w:bookmarkStart w:id="36" w:name="_Toc114325692"/>
      <w:bookmarkStart w:id="37" w:name="_Toc15377206"/>
      <w:bookmarkStart w:id="38" w:name="_Toc23267"/>
      <w:r>
        <w:rPr>
          <w:rFonts w:hint="eastAsia" w:ascii="黑体" w:hAnsi="黑体" w:eastAsia="黑体"/>
          <w:sz w:val="32"/>
          <w:szCs w:val="32"/>
        </w:rPr>
        <w:t>二、收</w:t>
      </w:r>
      <w:r>
        <w:rPr>
          <w:rStyle w:val="26"/>
          <w:rFonts w:hint="eastAsia" w:ascii="黑体" w:hAnsi="黑体" w:eastAsia="黑体"/>
          <w:b w:val="0"/>
        </w:rPr>
        <w:t>入决算情况说明</w:t>
      </w:r>
      <w:bookmarkEnd w:id="35"/>
      <w:bookmarkEnd w:id="36"/>
      <w:bookmarkEnd w:id="37"/>
      <w:bookmarkEnd w:id="38"/>
    </w:p>
    <w:p>
      <w:pPr>
        <w:spacing w:line="600" w:lineRule="exact"/>
        <w:ind w:firstLine="640" w:firstLineChars="200"/>
        <w:outlineLvl w:val="1"/>
        <w:rPr>
          <w:rFonts w:ascii="仿宋" w:hAnsi="仿宋" w:eastAsia="仿宋"/>
          <w:sz w:val="32"/>
          <w:szCs w:val="32"/>
        </w:rPr>
      </w:pPr>
      <w:bookmarkStart w:id="39" w:name="_Toc114325693"/>
      <w:bookmarkStart w:id="40" w:name="_Toc30264"/>
      <w:r>
        <w:rPr>
          <w:rFonts w:ascii="仿宋" w:hAnsi="仿宋" w:eastAsia="仿宋"/>
          <w:sz w:val="32"/>
          <w:szCs w:val="32"/>
        </w:rPr>
        <w:t>20</w:t>
      </w:r>
      <w:r>
        <w:rPr>
          <w:rFonts w:hint="eastAsia" w:ascii="仿宋" w:hAnsi="仿宋" w:eastAsia="仿宋"/>
          <w:sz w:val="32"/>
          <w:szCs w:val="32"/>
        </w:rPr>
        <w:t>21年本年收入合计3887.16万元，其中：一般公共预算财政拨款收入3526.87万元，占90.73</w:t>
      </w:r>
      <w:r>
        <w:rPr>
          <w:rFonts w:ascii="仿宋" w:hAnsi="仿宋" w:eastAsia="仿宋"/>
          <w:sz w:val="32"/>
          <w:szCs w:val="32"/>
        </w:rPr>
        <w:t>%</w:t>
      </w:r>
      <w:r>
        <w:rPr>
          <w:rFonts w:hint="eastAsia" w:ascii="仿宋" w:hAnsi="仿宋" w:eastAsia="仿宋"/>
          <w:sz w:val="32"/>
          <w:szCs w:val="32"/>
        </w:rPr>
        <w:t>；其他收入360.29万元，占9.27</w:t>
      </w:r>
      <w:r>
        <w:rPr>
          <w:rFonts w:ascii="仿宋" w:hAnsi="仿宋" w:eastAsia="仿宋"/>
          <w:sz w:val="32"/>
          <w:szCs w:val="32"/>
        </w:rPr>
        <w:t>%</w:t>
      </w:r>
      <w:r>
        <w:rPr>
          <w:rFonts w:hint="eastAsia" w:ascii="仿宋" w:hAnsi="仿宋" w:eastAsia="仿宋"/>
          <w:sz w:val="32"/>
          <w:szCs w:val="32"/>
        </w:rPr>
        <w:t>。</w:t>
      </w:r>
      <w:bookmarkEnd w:id="39"/>
      <w:bookmarkEnd w:id="40"/>
    </w:p>
    <w:p>
      <w:pPr>
        <w:spacing w:line="600" w:lineRule="exact"/>
        <w:ind w:firstLine="1920" w:firstLineChars="600"/>
        <w:rPr>
          <w:rFonts w:ascii="仿宋" w:hAnsi="仿宋" w:eastAsia="仿宋"/>
          <w:sz w:val="32"/>
          <w:szCs w:val="32"/>
        </w:rPr>
      </w:pPr>
      <w:r>
        <w:rPr>
          <w:rFonts w:hint="eastAsia" w:ascii="仿宋" w:hAnsi="仿宋" w:eastAsia="仿宋"/>
          <w:sz w:val="32"/>
          <w:szCs w:val="32"/>
        </w:rPr>
        <w:t>图2：收入决算结构图</w:t>
      </w:r>
    </w:p>
    <w:p>
      <w:pPr>
        <w:pStyle w:val="11"/>
        <w:ind w:left="840" w:hanging="420"/>
        <w:rPr>
          <w:rFonts w:ascii="仿宋" w:hAnsi="仿宋" w:eastAsia="仿宋"/>
          <w:sz w:val="32"/>
          <w:szCs w:val="32"/>
        </w:rPr>
      </w:pPr>
      <w:r>
        <w:drawing>
          <wp:inline distT="0" distB="0" distL="114300" distR="114300">
            <wp:extent cx="4572000" cy="2743200"/>
            <wp:effectExtent l="4445" t="4445" r="14605" b="14605"/>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24"/>
        <w:spacing w:line="600" w:lineRule="exact"/>
        <w:ind w:firstLine="640"/>
        <w:outlineLvl w:val="1"/>
        <w:rPr>
          <w:rStyle w:val="26"/>
          <w:rFonts w:ascii="黑体" w:hAnsi="黑体" w:eastAsia="黑体"/>
          <w:b w:val="0"/>
        </w:rPr>
      </w:pPr>
      <w:bookmarkStart w:id="41" w:name="_Toc114325694"/>
      <w:bookmarkStart w:id="42" w:name="_Toc15396605"/>
      <w:bookmarkStart w:id="43" w:name="_Toc15377207"/>
      <w:bookmarkStart w:id="44" w:name="_Toc14134"/>
      <w:r>
        <w:rPr>
          <w:rFonts w:hint="eastAsia" w:ascii="黑体" w:hAnsi="黑体" w:eastAsia="黑体"/>
          <w:sz w:val="32"/>
          <w:szCs w:val="32"/>
        </w:rPr>
        <w:t>三、支</w:t>
      </w:r>
      <w:r>
        <w:rPr>
          <w:rStyle w:val="26"/>
          <w:rFonts w:hint="eastAsia" w:ascii="黑体" w:hAnsi="黑体" w:eastAsia="黑体"/>
          <w:b w:val="0"/>
        </w:rPr>
        <w:t>出决算情况说明</w:t>
      </w:r>
      <w:bookmarkEnd w:id="41"/>
      <w:bookmarkEnd w:id="42"/>
      <w:bookmarkEnd w:id="43"/>
      <w:bookmarkEnd w:id="44"/>
    </w:p>
    <w:p>
      <w:pPr>
        <w:spacing w:line="600" w:lineRule="exact"/>
        <w:ind w:firstLine="640" w:firstLineChars="200"/>
        <w:outlineLvl w:val="1"/>
        <w:rPr>
          <w:rFonts w:ascii="仿宋" w:hAnsi="仿宋" w:eastAsia="仿宋"/>
          <w:sz w:val="32"/>
          <w:szCs w:val="32"/>
        </w:rPr>
      </w:pPr>
      <w:bookmarkStart w:id="45" w:name="_Toc114325695"/>
      <w:bookmarkStart w:id="46" w:name="_Toc26485"/>
      <w:r>
        <w:rPr>
          <w:rFonts w:ascii="仿宋" w:hAnsi="仿宋" w:eastAsia="仿宋"/>
          <w:sz w:val="32"/>
          <w:szCs w:val="32"/>
        </w:rPr>
        <w:t>20</w:t>
      </w:r>
      <w:r>
        <w:rPr>
          <w:rFonts w:hint="eastAsia" w:ascii="仿宋" w:hAnsi="仿宋" w:eastAsia="仿宋"/>
          <w:sz w:val="32"/>
          <w:szCs w:val="32"/>
        </w:rPr>
        <w:t>21年本年支出合计5550.93万元，其中：基本支出2637.82万元，占47.52</w:t>
      </w:r>
      <w:r>
        <w:rPr>
          <w:rFonts w:ascii="仿宋" w:hAnsi="仿宋" w:eastAsia="仿宋"/>
          <w:sz w:val="32"/>
          <w:szCs w:val="32"/>
        </w:rPr>
        <w:t>%</w:t>
      </w:r>
      <w:r>
        <w:rPr>
          <w:rFonts w:hint="eastAsia" w:ascii="仿宋" w:hAnsi="仿宋" w:eastAsia="仿宋"/>
          <w:sz w:val="32"/>
          <w:szCs w:val="32"/>
        </w:rPr>
        <w:t>；项目支出2913.11万元，占52.48</w:t>
      </w:r>
      <w:r>
        <w:rPr>
          <w:rFonts w:ascii="仿宋" w:hAnsi="仿宋" w:eastAsia="仿宋"/>
          <w:sz w:val="32"/>
          <w:szCs w:val="32"/>
        </w:rPr>
        <w:t>%</w:t>
      </w:r>
      <w:r>
        <w:rPr>
          <w:rFonts w:hint="eastAsia" w:ascii="仿宋" w:hAnsi="仿宋" w:eastAsia="仿宋"/>
          <w:sz w:val="32"/>
          <w:szCs w:val="32"/>
        </w:rPr>
        <w:t>。</w:t>
      </w:r>
      <w:bookmarkEnd w:id="45"/>
      <w:bookmarkEnd w:id="46"/>
    </w:p>
    <w:p>
      <w:pPr>
        <w:spacing w:line="600" w:lineRule="exact"/>
        <w:ind w:firstLine="2560" w:firstLineChars="800"/>
        <w:rPr>
          <w:rFonts w:ascii="仿宋" w:hAnsi="仿宋" w:eastAsia="仿宋"/>
          <w:sz w:val="32"/>
          <w:szCs w:val="32"/>
        </w:rPr>
      </w:pPr>
      <w:r>
        <w:rPr>
          <w:rFonts w:hint="eastAsia" w:ascii="仿宋" w:hAnsi="仿宋" w:eastAsia="仿宋"/>
          <w:sz w:val="32"/>
          <w:szCs w:val="32"/>
        </w:rPr>
        <w:t>图3：支出决算结构图</w:t>
      </w:r>
    </w:p>
    <w:p>
      <w:pPr>
        <w:pStyle w:val="11"/>
        <w:ind w:left="840" w:hanging="420"/>
      </w:pPr>
      <w:r>
        <w:drawing>
          <wp:inline distT="0" distB="0" distL="114300" distR="114300">
            <wp:extent cx="4572000" cy="2743200"/>
            <wp:effectExtent l="19050" t="0" r="19050" b="0"/>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outlineLvl w:val="1"/>
        <w:rPr>
          <w:rStyle w:val="26"/>
          <w:rFonts w:ascii="黑体" w:hAnsi="黑体" w:eastAsia="黑体"/>
          <w:b w:val="0"/>
        </w:rPr>
      </w:pPr>
      <w:bookmarkStart w:id="47" w:name="_Toc15377208"/>
      <w:bookmarkStart w:id="48" w:name="_Toc15396606"/>
      <w:bookmarkStart w:id="49" w:name="_Toc114325696"/>
      <w:bookmarkStart w:id="50" w:name="_Toc14465"/>
      <w:r>
        <w:rPr>
          <w:rFonts w:hint="eastAsia" w:ascii="黑体" w:hAnsi="黑体" w:eastAsia="黑体"/>
          <w:sz w:val="32"/>
          <w:szCs w:val="32"/>
        </w:rPr>
        <w:t>四、财</w:t>
      </w:r>
      <w:r>
        <w:rPr>
          <w:rStyle w:val="26"/>
          <w:rFonts w:hint="eastAsia" w:ascii="黑体" w:hAnsi="黑体" w:eastAsia="黑体"/>
          <w:b w:val="0"/>
        </w:rPr>
        <w:t>政拨款收入支出决算总体情况说明</w:t>
      </w:r>
      <w:bookmarkEnd w:id="47"/>
      <w:bookmarkEnd w:id="48"/>
      <w:bookmarkEnd w:id="49"/>
      <w:bookmarkEnd w:id="50"/>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21年财政拨款收、支总计5268.21万元。与</w:t>
      </w:r>
      <w:r>
        <w:rPr>
          <w:rFonts w:ascii="仿宋" w:hAnsi="仿宋" w:eastAsia="仿宋"/>
          <w:sz w:val="32"/>
          <w:szCs w:val="32"/>
        </w:rPr>
        <w:t>20</w:t>
      </w:r>
      <w:r>
        <w:rPr>
          <w:rFonts w:hint="eastAsia" w:ascii="仿宋" w:hAnsi="仿宋" w:eastAsia="仿宋"/>
          <w:sz w:val="32"/>
          <w:szCs w:val="32"/>
        </w:rPr>
        <w:t>20年相比，财政拨款收、支总计各减少8344.85万元，下降61.30</w:t>
      </w:r>
      <w:r>
        <w:rPr>
          <w:rFonts w:ascii="仿宋" w:hAnsi="仿宋" w:eastAsia="仿宋"/>
          <w:sz w:val="32"/>
          <w:szCs w:val="32"/>
        </w:rPr>
        <w:t>%</w:t>
      </w:r>
      <w:r>
        <w:rPr>
          <w:rFonts w:hint="eastAsia" w:ascii="仿宋" w:hAnsi="仿宋" w:eastAsia="仿宋"/>
          <w:sz w:val="32"/>
          <w:szCs w:val="32"/>
        </w:rPr>
        <w:t>。主要变动原因是2020年为进一步提高中心新冠疫情以及其他疾病应急防控能力，加大了对实验室改扩建、检验检测设备采购、信息综合平台建设以及检测试剂耗材、防护用品采购和新冠疫苗的采购支出；而2021年无此项收入及支出。</w:t>
      </w:r>
    </w:p>
    <w:p>
      <w:pPr>
        <w:spacing w:line="600" w:lineRule="exact"/>
        <w:ind w:firstLine="960" w:firstLineChars="300"/>
        <w:rPr>
          <w:rFonts w:hint="eastAsia" w:ascii="仿宋" w:hAnsi="仿宋" w:eastAsia="仿宋"/>
          <w:sz w:val="32"/>
          <w:szCs w:val="32"/>
        </w:rPr>
      </w:pPr>
      <w:r>
        <w:rPr>
          <w:rFonts w:hint="eastAsia" w:ascii="仿宋" w:hAnsi="仿宋" w:eastAsia="仿宋"/>
          <w:sz w:val="32"/>
          <w:szCs w:val="32"/>
        </w:rPr>
        <w:t>图4：财政拨款收、支决算总计变动情况</w:t>
      </w:r>
    </w:p>
    <w:p>
      <w:pPr>
        <w:pStyle w:val="11"/>
        <w:rPr>
          <w:rFonts w:hint="default" w:eastAsia="仿宋"/>
          <w:lang w:val="en-US" w:eastAsia="zh-CN"/>
        </w:rPr>
      </w:pPr>
      <w:r>
        <w:rPr>
          <w:rFonts w:hint="eastAsia" w:ascii="仿宋" w:hAnsi="仿宋" w:eastAsia="仿宋"/>
          <w:sz w:val="32"/>
          <w:szCs w:val="32"/>
          <w:lang w:val="en-US" w:eastAsia="zh-CN"/>
        </w:rPr>
        <w:t xml:space="preserve">                                      </w:t>
      </w:r>
      <w:r>
        <w:rPr>
          <w:rFonts w:hint="eastAsia" w:ascii="仿宋" w:hAnsi="仿宋" w:eastAsia="仿宋"/>
          <w:sz w:val="18"/>
          <w:szCs w:val="18"/>
          <w:lang w:val="en-US" w:eastAsia="zh-CN"/>
        </w:rPr>
        <w:t xml:space="preserve"> </w:t>
      </w:r>
      <w:r>
        <w:rPr>
          <w:rFonts w:hint="eastAsia" w:ascii="Times New Roman" w:hAnsi="Times New Roman" w:cs="Times New Roman"/>
          <w:sz w:val="18"/>
          <w:szCs w:val="18"/>
          <w:lang w:val="en-US" w:eastAsia="zh-CN"/>
        </w:rPr>
        <w:t>单位：万元</w:t>
      </w:r>
    </w:p>
    <w:p>
      <w:pPr>
        <w:pStyle w:val="11"/>
        <w:ind w:left="840" w:hanging="420"/>
      </w:pPr>
      <w:r>
        <w:drawing>
          <wp:inline distT="0" distB="0" distL="0" distR="0">
            <wp:extent cx="4572000" cy="2743200"/>
            <wp:effectExtent l="19050" t="0" r="19050" b="0"/>
            <wp:docPr id="4"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outlineLvl w:val="1"/>
        <w:rPr>
          <w:rStyle w:val="26"/>
          <w:rFonts w:ascii="黑体" w:hAnsi="黑体" w:eastAsia="黑体"/>
          <w:b w:val="0"/>
        </w:rPr>
      </w:pPr>
      <w:bookmarkStart w:id="51" w:name="_Toc15396607"/>
      <w:bookmarkStart w:id="52" w:name="_Toc15377209"/>
      <w:bookmarkStart w:id="53" w:name="_Toc114325697"/>
      <w:bookmarkStart w:id="54" w:name="_Toc11702"/>
      <w:r>
        <w:rPr>
          <w:rFonts w:hint="eastAsia" w:ascii="黑体" w:hAnsi="黑体" w:eastAsia="黑体"/>
          <w:sz w:val="32"/>
          <w:szCs w:val="32"/>
        </w:rPr>
        <w:t>五、</w:t>
      </w:r>
      <w:r>
        <w:rPr>
          <w:rFonts w:hint="eastAsia" w:ascii="黑体" w:hAnsi="黑体" w:eastAsia="黑体"/>
          <w:b/>
          <w:sz w:val="32"/>
          <w:szCs w:val="32"/>
        </w:rPr>
        <w:t>一</w:t>
      </w:r>
      <w:r>
        <w:rPr>
          <w:rStyle w:val="26"/>
          <w:rFonts w:hint="eastAsia" w:ascii="黑体" w:hAnsi="黑体" w:eastAsia="黑体"/>
          <w:b w:val="0"/>
        </w:rPr>
        <w:t>般公共预算财政拨款支出决算情况说明</w:t>
      </w:r>
      <w:bookmarkEnd w:id="51"/>
      <w:bookmarkEnd w:id="52"/>
      <w:bookmarkEnd w:id="53"/>
      <w:bookmarkEnd w:id="54"/>
    </w:p>
    <w:p>
      <w:pPr>
        <w:spacing w:line="600" w:lineRule="exact"/>
        <w:ind w:firstLine="643" w:firstLineChars="200"/>
        <w:outlineLvl w:val="2"/>
        <w:rPr>
          <w:rFonts w:ascii="仿宋" w:hAnsi="仿宋" w:eastAsia="仿宋"/>
          <w:b/>
          <w:sz w:val="32"/>
          <w:szCs w:val="32"/>
        </w:rPr>
      </w:pPr>
      <w:bookmarkStart w:id="55" w:name="_Toc15377210"/>
      <w:bookmarkStart w:id="56" w:name="_Toc114325698"/>
      <w:r>
        <w:rPr>
          <w:rFonts w:hint="eastAsia" w:ascii="仿宋" w:hAnsi="仿宋" w:eastAsia="仿宋"/>
          <w:b/>
          <w:sz w:val="32"/>
          <w:szCs w:val="32"/>
        </w:rPr>
        <w:t>（一）一般公共预算财政拨款支出决算总体情况</w:t>
      </w:r>
      <w:bookmarkEnd w:id="55"/>
      <w:bookmarkEnd w:id="56"/>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21年一般公共预算财政拨款支出4366.10万元，占本年支出合计的78.66</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20年相比，一般公共预算财政拨款支出减少1190.76万元，下降21.43</w:t>
      </w:r>
      <w:r>
        <w:rPr>
          <w:rFonts w:ascii="仿宋" w:hAnsi="仿宋" w:eastAsia="仿宋"/>
          <w:sz w:val="32"/>
          <w:szCs w:val="32"/>
        </w:rPr>
        <w:t>%</w:t>
      </w:r>
      <w:r>
        <w:rPr>
          <w:rFonts w:hint="eastAsia" w:ascii="仿宋" w:hAnsi="仿宋" w:eastAsia="仿宋"/>
          <w:sz w:val="32"/>
          <w:szCs w:val="32"/>
        </w:rPr>
        <w:t>。主要变动原因是2020年为进一步提高中心新冠疫情以及其他疾病应急防控能力，加大了对实验室改扩建、检验检测设备采购、信息综合平台建设以及检测试剂耗材、防护用品采购和新冠疫苗的采购支出；而2021年无此项支出。</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图5：一般公共预算财政拨款支出决算变动情况</w:t>
      </w:r>
    </w:p>
    <w:p>
      <w:pPr>
        <w:pStyle w:val="11"/>
        <w:ind w:left="777" w:leftChars="370" w:firstLine="5940" w:firstLineChars="3300"/>
      </w:pPr>
      <w:r>
        <w:rPr>
          <w:rFonts w:hint="eastAsia" w:ascii="仿宋" w:hAnsi="仿宋" w:eastAsia="仿宋"/>
          <w:sz w:val="18"/>
          <w:szCs w:val="18"/>
          <w:lang w:val="en-US" w:eastAsia="zh-CN"/>
        </w:rPr>
        <w:t xml:space="preserve"> </w:t>
      </w:r>
      <w:r>
        <w:rPr>
          <w:rFonts w:hint="eastAsia" w:ascii="Times New Roman" w:hAnsi="Times New Roman" w:cs="Times New Roman"/>
          <w:sz w:val="18"/>
          <w:szCs w:val="18"/>
          <w:lang w:val="en-US" w:eastAsia="zh-CN"/>
        </w:rPr>
        <w:t>单位：万元</w:t>
      </w:r>
    </w:p>
    <w:p>
      <w:pPr>
        <w:ind w:firstLine="420" w:firstLineChars="200"/>
      </w:pPr>
      <w:r>
        <w:drawing>
          <wp:inline distT="0" distB="0" distL="0" distR="0">
            <wp:extent cx="4572000" cy="2743200"/>
            <wp:effectExtent l="19050" t="0" r="19050" b="0"/>
            <wp:docPr id="7"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3" w:firstLineChars="200"/>
        <w:outlineLvl w:val="2"/>
        <w:rPr>
          <w:rFonts w:ascii="仿宋" w:hAnsi="仿宋" w:eastAsia="仿宋"/>
          <w:b/>
          <w:sz w:val="32"/>
          <w:szCs w:val="32"/>
        </w:rPr>
      </w:pPr>
      <w:bookmarkStart w:id="57" w:name="_Toc114325699"/>
      <w:bookmarkStart w:id="58" w:name="_Toc15377211"/>
      <w:r>
        <w:rPr>
          <w:rFonts w:hint="eastAsia" w:ascii="仿宋" w:hAnsi="仿宋" w:eastAsia="仿宋"/>
          <w:b/>
          <w:sz w:val="32"/>
          <w:szCs w:val="32"/>
        </w:rPr>
        <w:t>（二）一般公共预算财政拨款支出决算结构情况</w:t>
      </w:r>
      <w:bookmarkEnd w:id="57"/>
      <w:bookmarkEnd w:id="58"/>
    </w:p>
    <w:p>
      <w:pPr>
        <w:spacing w:line="600" w:lineRule="exact"/>
        <w:ind w:firstLine="640"/>
        <w:rPr>
          <w:rFonts w:ascii="仿宋" w:hAnsi="仿宋" w:eastAsia="仿宋"/>
          <w:b/>
          <w:sz w:val="32"/>
          <w:szCs w:val="32"/>
        </w:rPr>
      </w:pPr>
      <w:r>
        <w:rPr>
          <w:rFonts w:ascii="仿宋" w:hAnsi="仿宋" w:eastAsia="仿宋"/>
          <w:sz w:val="32"/>
          <w:szCs w:val="32"/>
        </w:rPr>
        <w:t>20</w:t>
      </w:r>
      <w:r>
        <w:rPr>
          <w:rFonts w:hint="eastAsia" w:ascii="仿宋" w:hAnsi="仿宋" w:eastAsia="仿宋"/>
          <w:sz w:val="32"/>
          <w:szCs w:val="32"/>
        </w:rPr>
        <w:t>21年一般公共预算财政拨款支出4366.10万元，主要用于以下方面</w:t>
      </w:r>
      <w:r>
        <w:rPr>
          <w:rFonts w:ascii="仿宋" w:hAnsi="仿宋" w:eastAsia="仿宋"/>
          <w:sz w:val="32"/>
          <w:szCs w:val="32"/>
        </w:rPr>
        <w:t>:</w:t>
      </w:r>
      <w:r>
        <w:rPr>
          <w:rFonts w:hint="eastAsia" w:ascii="仿宋" w:hAnsi="仿宋" w:eastAsia="仿宋"/>
          <w:b/>
          <w:sz w:val="32"/>
          <w:szCs w:val="32"/>
        </w:rPr>
        <w:t>教育支出（类）</w:t>
      </w:r>
      <w:r>
        <w:rPr>
          <w:rFonts w:hint="eastAsia" w:ascii="仿宋" w:hAnsi="仿宋" w:eastAsia="仿宋"/>
          <w:sz w:val="32"/>
          <w:szCs w:val="32"/>
        </w:rPr>
        <w:t>9.67万元，占0.22</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社会保障和就业（类）</w:t>
      </w:r>
      <w:r>
        <w:rPr>
          <w:rFonts w:hint="eastAsia" w:ascii="仿宋" w:hAnsi="仿宋" w:eastAsia="仿宋"/>
          <w:sz w:val="32"/>
          <w:szCs w:val="32"/>
        </w:rPr>
        <w:t>支出222.16万元，占5.09</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b/>
          <w:sz w:val="32"/>
          <w:szCs w:val="32"/>
        </w:rPr>
        <w:t>（类）</w:t>
      </w:r>
      <w:r>
        <w:rPr>
          <w:rFonts w:hint="eastAsia" w:ascii="仿宋" w:hAnsi="仿宋" w:eastAsia="仿宋"/>
          <w:sz w:val="32"/>
          <w:szCs w:val="32"/>
        </w:rPr>
        <w:t>3991.92万元，占91.43</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b/>
          <w:sz w:val="32"/>
          <w:szCs w:val="32"/>
        </w:rPr>
        <w:t>（类）</w:t>
      </w:r>
      <w:r>
        <w:rPr>
          <w:rFonts w:hint="eastAsia" w:ascii="仿宋" w:hAnsi="仿宋" w:eastAsia="仿宋"/>
          <w:sz w:val="32"/>
          <w:szCs w:val="32"/>
        </w:rPr>
        <w:t>142.35万元，占3.26</w:t>
      </w:r>
      <w:r>
        <w:rPr>
          <w:rFonts w:ascii="仿宋" w:hAnsi="仿宋" w:eastAsia="仿宋"/>
          <w:sz w:val="32"/>
          <w:szCs w:val="32"/>
        </w:rPr>
        <w:t>%</w:t>
      </w:r>
      <w:r>
        <w:rPr>
          <w:rFonts w:hint="eastAsia" w:ascii="仿宋" w:hAnsi="仿宋" w:eastAsia="仿宋"/>
          <w:sz w:val="32"/>
          <w:szCs w:val="32"/>
        </w:rPr>
        <w:t>。</w:t>
      </w:r>
    </w:p>
    <w:p>
      <w:pPr>
        <w:spacing w:line="600" w:lineRule="exact"/>
        <w:ind w:firstLine="960" w:firstLineChars="300"/>
        <w:rPr>
          <w:rFonts w:ascii="仿宋" w:hAnsi="仿宋" w:eastAsia="仿宋"/>
          <w:sz w:val="32"/>
          <w:szCs w:val="32"/>
        </w:rPr>
      </w:pPr>
      <w:r>
        <w:rPr>
          <w:rFonts w:hint="eastAsia" w:ascii="仿宋" w:hAnsi="仿宋" w:eastAsia="仿宋"/>
          <w:sz w:val="32"/>
          <w:szCs w:val="32"/>
        </w:rPr>
        <w:t>图6：一般公共预算财政拨款支出决算结构</w:t>
      </w:r>
    </w:p>
    <w:p>
      <w:pPr>
        <w:pStyle w:val="11"/>
        <w:ind w:left="840" w:hanging="420"/>
      </w:pPr>
      <w:r>
        <w:drawing>
          <wp:inline distT="0" distB="0" distL="0" distR="0">
            <wp:extent cx="4572000" cy="2743200"/>
            <wp:effectExtent l="19050" t="0" r="19050" b="0"/>
            <wp:docPr id="8"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3" w:firstLineChars="200"/>
        <w:outlineLvl w:val="2"/>
        <w:rPr>
          <w:rFonts w:ascii="仿宋" w:hAnsi="仿宋" w:eastAsia="仿宋"/>
          <w:b/>
          <w:sz w:val="32"/>
          <w:szCs w:val="32"/>
        </w:rPr>
      </w:pPr>
      <w:bookmarkStart w:id="59" w:name="_Toc114325700"/>
      <w:bookmarkStart w:id="60" w:name="_Toc15377212"/>
      <w:r>
        <w:rPr>
          <w:rFonts w:hint="eastAsia" w:ascii="仿宋" w:hAnsi="仿宋" w:eastAsia="仿宋"/>
          <w:b/>
          <w:sz w:val="32"/>
          <w:szCs w:val="32"/>
        </w:rPr>
        <w:t>（三）一般公共预算财政拨款支出决算具体情况</w:t>
      </w:r>
      <w:bookmarkEnd w:id="59"/>
      <w:bookmarkEnd w:id="60"/>
    </w:p>
    <w:p>
      <w:pPr>
        <w:spacing w:line="600" w:lineRule="exact"/>
        <w:ind w:firstLine="643" w:firstLineChars="200"/>
        <w:outlineLvl w:val="2"/>
        <w:rPr>
          <w:rFonts w:ascii="仿宋" w:hAnsi="仿宋" w:eastAsia="仿宋"/>
          <w:sz w:val="32"/>
          <w:szCs w:val="32"/>
        </w:rPr>
      </w:pPr>
      <w:bookmarkStart w:id="61" w:name="_Toc15378460"/>
      <w:bookmarkStart w:id="62" w:name="_Toc15377213"/>
      <w:bookmarkStart w:id="63" w:name="_Toc15377444"/>
      <w:bookmarkStart w:id="64" w:name="_Toc114325701"/>
      <w:r>
        <w:rPr>
          <w:rFonts w:hint="eastAsia" w:ascii="仿宋" w:hAnsi="仿宋" w:eastAsia="仿宋"/>
          <w:b/>
          <w:sz w:val="32"/>
          <w:szCs w:val="32"/>
        </w:rPr>
        <w:t>2021年一般公共预算支出决算数为4366.10万元</w:t>
      </w:r>
      <w:r>
        <w:rPr>
          <w:rFonts w:hint="eastAsia" w:ascii="仿宋" w:hAnsi="仿宋" w:eastAsia="仿宋"/>
          <w:sz w:val="32"/>
          <w:szCs w:val="32"/>
        </w:rPr>
        <w:t>，</w:t>
      </w:r>
      <w:r>
        <w:rPr>
          <w:rStyle w:val="15"/>
          <w:rFonts w:hint="eastAsia" w:ascii="仿宋" w:hAnsi="仿宋" w:eastAsia="仿宋"/>
          <w:bCs/>
          <w:sz w:val="32"/>
          <w:szCs w:val="32"/>
        </w:rPr>
        <w:t>完成预算99.58</w:t>
      </w:r>
      <w:r>
        <w:rPr>
          <w:rStyle w:val="15"/>
          <w:rFonts w:ascii="仿宋" w:hAnsi="仿宋" w:eastAsia="仿宋"/>
          <w:bCs/>
          <w:sz w:val="32"/>
          <w:szCs w:val="32"/>
        </w:rPr>
        <w:t>%</w:t>
      </w:r>
      <w:r>
        <w:rPr>
          <w:rStyle w:val="15"/>
          <w:rFonts w:hint="eastAsia" w:ascii="仿宋" w:hAnsi="仿宋" w:eastAsia="仿宋"/>
          <w:bCs/>
          <w:sz w:val="32"/>
          <w:szCs w:val="32"/>
        </w:rPr>
        <w:t>。其中：</w:t>
      </w:r>
      <w:bookmarkEnd w:id="61"/>
      <w:bookmarkEnd w:id="62"/>
      <w:bookmarkEnd w:id="63"/>
      <w:bookmarkEnd w:id="64"/>
    </w:p>
    <w:p>
      <w:pPr>
        <w:spacing w:line="600" w:lineRule="exact"/>
        <w:ind w:firstLine="643" w:firstLineChars="200"/>
        <w:rPr>
          <w:rFonts w:ascii="仿宋" w:hAnsi="仿宋" w:eastAsia="仿宋"/>
          <w:b/>
          <w:sz w:val="32"/>
          <w:szCs w:val="32"/>
        </w:rPr>
      </w:pPr>
      <w:r>
        <w:rPr>
          <w:rStyle w:val="15"/>
          <w:rFonts w:hint="eastAsia" w:ascii="仿宋" w:hAnsi="仿宋" w:eastAsia="仿宋"/>
          <w:bCs/>
          <w:sz w:val="32"/>
          <w:szCs w:val="32"/>
        </w:rPr>
        <w:t>1</w:t>
      </w:r>
      <w:r>
        <w:rPr>
          <w:rStyle w:val="15"/>
          <w:rFonts w:ascii="仿宋" w:hAnsi="仿宋" w:eastAsia="仿宋"/>
          <w:bCs/>
          <w:sz w:val="32"/>
          <w:szCs w:val="32"/>
        </w:rPr>
        <w:t>.</w:t>
      </w:r>
      <w:r>
        <w:rPr>
          <w:rFonts w:hint="eastAsia" w:ascii="仿宋" w:hAnsi="仿宋" w:eastAsia="仿宋"/>
          <w:b/>
          <w:bCs/>
          <w:sz w:val="32"/>
          <w:szCs w:val="32"/>
        </w:rPr>
        <w:t xml:space="preserve"> </w:t>
      </w:r>
      <w:r>
        <w:rPr>
          <w:rFonts w:hint="eastAsia" w:ascii="仿宋" w:hAnsi="仿宋" w:eastAsia="仿宋"/>
          <w:b/>
          <w:bCs/>
          <w:color w:val="auto"/>
          <w:sz w:val="32"/>
          <w:szCs w:val="32"/>
        </w:rPr>
        <w:t>教育支出（类）进修</w:t>
      </w:r>
      <w:r>
        <w:rPr>
          <w:rFonts w:hint="eastAsia" w:ascii="仿宋" w:hAnsi="仿宋" w:eastAsia="仿宋"/>
          <w:b/>
          <w:bCs/>
          <w:sz w:val="32"/>
          <w:szCs w:val="32"/>
        </w:rPr>
        <w:t>及培训（款）培训</w:t>
      </w:r>
      <w:r>
        <w:rPr>
          <w:rFonts w:hint="eastAsia" w:ascii="仿宋" w:hAnsi="仿宋" w:eastAsia="仿宋"/>
          <w:b/>
          <w:bCs/>
          <w:sz w:val="32"/>
          <w:szCs w:val="32"/>
          <w:lang w:eastAsia="zh-CN"/>
        </w:rPr>
        <w:t>支出</w:t>
      </w:r>
      <w:r>
        <w:rPr>
          <w:rFonts w:hint="eastAsia" w:ascii="仿宋" w:hAnsi="仿宋" w:eastAsia="仿宋"/>
          <w:b/>
          <w:bCs/>
          <w:sz w:val="32"/>
          <w:szCs w:val="32"/>
        </w:rPr>
        <w:t>（项）</w:t>
      </w:r>
      <w:r>
        <w:rPr>
          <w:rStyle w:val="15"/>
          <w:rFonts w:ascii="仿宋" w:hAnsi="仿宋" w:eastAsia="仿宋"/>
          <w:bCs/>
          <w:sz w:val="32"/>
          <w:szCs w:val="32"/>
        </w:rPr>
        <w:t>:</w:t>
      </w:r>
      <w:r>
        <w:rPr>
          <w:rStyle w:val="15"/>
          <w:rFonts w:hint="eastAsia" w:ascii="仿宋" w:hAnsi="仿宋" w:eastAsia="仿宋"/>
          <w:b w:val="0"/>
          <w:bCs/>
          <w:sz w:val="32"/>
          <w:szCs w:val="32"/>
        </w:rPr>
        <w:t>支出决算为9.67万元，完成预算100</w:t>
      </w:r>
      <w:r>
        <w:rPr>
          <w:rStyle w:val="15"/>
          <w:rFonts w:ascii="仿宋" w:hAnsi="仿宋" w:eastAsia="仿宋"/>
          <w:b w:val="0"/>
          <w:bCs/>
          <w:sz w:val="32"/>
          <w:szCs w:val="32"/>
        </w:rPr>
        <w:t>%</w:t>
      </w:r>
      <w:r>
        <w:rPr>
          <w:rStyle w:val="15"/>
          <w:rFonts w:hint="eastAsia" w:ascii="仿宋" w:hAnsi="仿宋" w:eastAsia="仿宋"/>
          <w:b w:val="0"/>
          <w:bCs/>
          <w:sz w:val="32"/>
          <w:szCs w:val="32"/>
        </w:rPr>
        <w:t>，决算数等于预算数。</w:t>
      </w:r>
    </w:p>
    <w:p>
      <w:pPr>
        <w:spacing w:line="600" w:lineRule="exact"/>
        <w:ind w:firstLine="643" w:firstLineChars="200"/>
        <w:rPr>
          <w:rStyle w:val="15"/>
          <w:rFonts w:ascii="仿宋" w:hAnsi="仿宋" w:eastAsia="仿宋"/>
          <w:bCs/>
          <w:sz w:val="32"/>
          <w:szCs w:val="32"/>
        </w:rPr>
      </w:pPr>
      <w:r>
        <w:rPr>
          <w:rStyle w:val="15"/>
          <w:rFonts w:hint="eastAsia" w:ascii="仿宋" w:hAnsi="仿宋" w:eastAsia="仿宋"/>
          <w:bCs/>
          <w:sz w:val="32"/>
          <w:szCs w:val="32"/>
        </w:rPr>
        <w:t>2</w:t>
      </w:r>
      <w:r>
        <w:rPr>
          <w:rStyle w:val="15"/>
          <w:rFonts w:ascii="仿宋" w:hAnsi="仿宋" w:eastAsia="仿宋"/>
          <w:bCs/>
          <w:sz w:val="32"/>
          <w:szCs w:val="32"/>
        </w:rPr>
        <w:t>.</w:t>
      </w:r>
      <w:r>
        <w:rPr>
          <w:rFonts w:hint="eastAsia" w:ascii="仿宋" w:hAnsi="仿宋" w:eastAsia="仿宋"/>
          <w:b/>
          <w:bCs/>
          <w:sz w:val="32"/>
          <w:szCs w:val="32"/>
        </w:rPr>
        <w:t>社会保障和就业支出（类）行政事业单位离退休（款）行政单位离退休（项）:</w:t>
      </w:r>
      <w:r>
        <w:rPr>
          <w:rStyle w:val="15"/>
          <w:rFonts w:hint="eastAsia" w:ascii="仿宋" w:hAnsi="仿宋" w:eastAsia="仿宋"/>
          <w:b w:val="0"/>
          <w:bCs/>
          <w:sz w:val="32"/>
          <w:szCs w:val="32"/>
        </w:rPr>
        <w:t xml:space="preserve"> 支出决算为3.11万元，完成预算100</w:t>
      </w:r>
      <w:r>
        <w:rPr>
          <w:rStyle w:val="15"/>
          <w:rFonts w:ascii="仿宋" w:hAnsi="仿宋" w:eastAsia="仿宋"/>
          <w:b w:val="0"/>
          <w:bCs/>
          <w:sz w:val="32"/>
          <w:szCs w:val="32"/>
        </w:rPr>
        <w:t>%</w:t>
      </w:r>
      <w:r>
        <w:rPr>
          <w:rStyle w:val="15"/>
          <w:rFonts w:hint="eastAsia" w:ascii="仿宋" w:hAnsi="仿宋" w:eastAsia="仿宋"/>
          <w:b w:val="0"/>
          <w:bCs/>
          <w:sz w:val="32"/>
          <w:szCs w:val="32"/>
        </w:rPr>
        <w:t>，决算数等于预算数。</w:t>
      </w:r>
    </w:p>
    <w:p>
      <w:pPr>
        <w:spacing w:line="600" w:lineRule="exact"/>
        <w:ind w:firstLine="640" w:firstLineChars="200"/>
        <w:rPr>
          <w:rStyle w:val="15"/>
          <w:rFonts w:ascii="仿宋" w:hAnsi="仿宋" w:eastAsia="仿宋"/>
          <w:b w:val="0"/>
          <w:bCs/>
          <w:sz w:val="32"/>
          <w:szCs w:val="32"/>
        </w:rPr>
      </w:pPr>
      <w:r>
        <w:rPr>
          <w:rFonts w:hint="eastAsia" w:ascii="仿宋" w:hAnsi="仿宋" w:eastAsia="仿宋"/>
          <w:bCs/>
          <w:sz w:val="32"/>
          <w:szCs w:val="32"/>
        </w:rPr>
        <w:t>3</w:t>
      </w:r>
      <w:r>
        <w:rPr>
          <w:rStyle w:val="15"/>
          <w:rFonts w:ascii="仿宋" w:hAnsi="仿宋" w:eastAsia="仿宋"/>
          <w:bCs/>
          <w:sz w:val="32"/>
          <w:szCs w:val="32"/>
        </w:rPr>
        <w:t>.</w:t>
      </w:r>
      <w:r>
        <w:rPr>
          <w:rFonts w:hint="eastAsia" w:ascii="仿宋" w:hAnsi="仿宋" w:eastAsia="仿宋"/>
          <w:b/>
          <w:bCs/>
          <w:sz w:val="32"/>
          <w:szCs w:val="32"/>
        </w:rPr>
        <w:t>社会保障和就业支出（类）行政事业单位离退休（款）事业单位离退休（项）:</w:t>
      </w:r>
      <w:r>
        <w:rPr>
          <w:rStyle w:val="15"/>
          <w:rFonts w:hint="eastAsia" w:ascii="仿宋" w:hAnsi="仿宋" w:eastAsia="仿宋"/>
          <w:b w:val="0"/>
          <w:bCs/>
          <w:sz w:val="32"/>
          <w:szCs w:val="32"/>
        </w:rPr>
        <w:t>支出决算为27.35元，完成预算100</w:t>
      </w:r>
      <w:r>
        <w:rPr>
          <w:rStyle w:val="15"/>
          <w:rFonts w:ascii="仿宋" w:hAnsi="仿宋" w:eastAsia="仿宋"/>
          <w:b w:val="0"/>
          <w:bCs/>
          <w:sz w:val="32"/>
          <w:szCs w:val="32"/>
        </w:rPr>
        <w:t>%</w:t>
      </w:r>
      <w:r>
        <w:rPr>
          <w:rStyle w:val="15"/>
          <w:rFonts w:hint="eastAsia" w:ascii="仿宋" w:hAnsi="仿宋" w:eastAsia="仿宋"/>
          <w:b w:val="0"/>
          <w:bCs/>
          <w:sz w:val="32"/>
          <w:szCs w:val="32"/>
        </w:rPr>
        <w:t>，决算数等于预算数。</w:t>
      </w:r>
    </w:p>
    <w:p>
      <w:pPr>
        <w:spacing w:line="600" w:lineRule="exact"/>
        <w:ind w:firstLine="640"/>
        <w:rPr>
          <w:rFonts w:ascii="仿宋" w:hAnsi="仿宋" w:eastAsia="仿宋"/>
          <w:b/>
          <w:sz w:val="32"/>
          <w:szCs w:val="32"/>
        </w:rPr>
      </w:pPr>
      <w:r>
        <w:rPr>
          <w:rFonts w:hint="eastAsia" w:ascii="仿宋" w:hAnsi="仿宋" w:eastAsia="仿宋"/>
          <w:b/>
          <w:bCs/>
          <w:sz w:val="32"/>
          <w:szCs w:val="32"/>
        </w:rPr>
        <w:t xml:space="preserve">4.社会保障和就业支出（类）行政事业单位离退休（款）机关事业单位基本养老保险缴费支出（项）: </w:t>
      </w:r>
      <w:r>
        <w:rPr>
          <w:rFonts w:hint="eastAsia" w:ascii="仿宋" w:hAnsi="仿宋" w:eastAsia="仿宋"/>
          <w:sz w:val="32"/>
          <w:szCs w:val="32"/>
        </w:rPr>
        <w:t>支出决算为118.63万元，完成预算100%，决算数等于预算数。</w:t>
      </w:r>
    </w:p>
    <w:p>
      <w:pPr>
        <w:spacing w:line="600" w:lineRule="exact"/>
        <w:ind w:firstLine="640"/>
        <w:rPr>
          <w:rFonts w:ascii="仿宋" w:hAnsi="仿宋" w:eastAsia="仿宋"/>
          <w:sz w:val="32"/>
          <w:szCs w:val="32"/>
        </w:rPr>
      </w:pPr>
      <w:r>
        <w:rPr>
          <w:rFonts w:hint="eastAsia" w:ascii="仿宋" w:hAnsi="仿宋" w:eastAsia="仿宋"/>
          <w:b/>
          <w:bCs/>
          <w:sz w:val="32"/>
          <w:szCs w:val="32"/>
        </w:rPr>
        <w:t xml:space="preserve">5.社会保障和就业支出（类）行政事业单位离退休（款）机关事业单位职业年金缴费支出（项）: </w:t>
      </w:r>
      <w:r>
        <w:rPr>
          <w:rFonts w:hint="eastAsia" w:ascii="仿宋" w:hAnsi="仿宋" w:eastAsia="仿宋"/>
          <w:sz w:val="32"/>
          <w:szCs w:val="32"/>
        </w:rPr>
        <w:t>支出决算为21.15万元，完成预算100%，决算数等于预算数。</w:t>
      </w:r>
    </w:p>
    <w:p>
      <w:pPr>
        <w:spacing w:line="600" w:lineRule="exact"/>
        <w:ind w:firstLine="640"/>
        <w:rPr>
          <w:rFonts w:ascii="仿宋" w:hAnsi="仿宋" w:eastAsia="仿宋"/>
          <w:b/>
          <w:sz w:val="32"/>
          <w:szCs w:val="32"/>
        </w:rPr>
      </w:pPr>
      <w:r>
        <w:rPr>
          <w:rFonts w:hint="eastAsia" w:ascii="仿宋" w:hAnsi="仿宋" w:eastAsia="仿宋"/>
          <w:b/>
          <w:bCs/>
          <w:sz w:val="32"/>
          <w:szCs w:val="32"/>
        </w:rPr>
        <w:t>6.社会保障和就业支出（类）行政事业单位离退休（款）其他行政事业单位养老支出：</w:t>
      </w:r>
      <w:r>
        <w:rPr>
          <w:rFonts w:hint="eastAsia" w:ascii="仿宋" w:hAnsi="仿宋" w:eastAsia="仿宋"/>
          <w:sz w:val="32"/>
          <w:szCs w:val="32"/>
        </w:rPr>
        <w:t>支出决算为</w:t>
      </w:r>
      <w:r>
        <w:rPr>
          <w:rFonts w:hint="eastAsia" w:ascii="仿宋" w:hAnsi="仿宋" w:eastAsia="仿宋"/>
          <w:bCs/>
          <w:sz w:val="32"/>
          <w:szCs w:val="32"/>
        </w:rPr>
        <w:t>51.92万元，</w:t>
      </w:r>
      <w:r>
        <w:rPr>
          <w:rFonts w:hint="eastAsia" w:ascii="仿宋" w:hAnsi="仿宋" w:eastAsia="仿宋"/>
          <w:sz w:val="32"/>
          <w:szCs w:val="32"/>
        </w:rPr>
        <w:t>完成预算100%，</w:t>
      </w:r>
      <w:r>
        <w:rPr>
          <w:rStyle w:val="15"/>
          <w:rFonts w:hint="eastAsia" w:ascii="仿宋" w:hAnsi="仿宋" w:eastAsia="仿宋"/>
          <w:b w:val="0"/>
          <w:bCs/>
          <w:sz w:val="32"/>
          <w:szCs w:val="32"/>
        </w:rPr>
        <w:t>决算数等于预算数</w:t>
      </w:r>
      <w:r>
        <w:rPr>
          <w:rFonts w:hint="eastAsia" w:ascii="仿宋" w:hAnsi="仿宋" w:eastAsia="仿宋"/>
          <w:sz w:val="32"/>
          <w:szCs w:val="32"/>
        </w:rPr>
        <w:t>。</w:t>
      </w:r>
    </w:p>
    <w:p>
      <w:pPr>
        <w:spacing w:line="600" w:lineRule="exact"/>
        <w:ind w:firstLine="630" w:firstLineChars="196"/>
        <w:rPr>
          <w:rStyle w:val="15"/>
          <w:rFonts w:ascii="仿宋" w:hAnsi="仿宋" w:eastAsia="仿宋"/>
          <w:b w:val="0"/>
          <w:bCs/>
          <w:sz w:val="32"/>
          <w:szCs w:val="32"/>
        </w:rPr>
      </w:pPr>
      <w:r>
        <w:rPr>
          <w:rStyle w:val="15"/>
          <w:rFonts w:hint="eastAsia" w:ascii="仿宋" w:hAnsi="仿宋" w:eastAsia="仿宋"/>
          <w:bCs/>
          <w:sz w:val="32"/>
          <w:szCs w:val="32"/>
        </w:rPr>
        <w:t>7.</w:t>
      </w:r>
      <w:r>
        <w:rPr>
          <w:rFonts w:hint="eastAsia" w:ascii="仿宋" w:hAnsi="仿宋" w:eastAsia="仿宋"/>
          <w:b/>
          <w:bCs/>
          <w:sz w:val="32"/>
          <w:szCs w:val="32"/>
        </w:rPr>
        <w:t>卫生健康支出（类）公共卫生（款）疾病预防控制机构（项）：</w:t>
      </w:r>
      <w:r>
        <w:rPr>
          <w:rStyle w:val="15"/>
          <w:rFonts w:hint="eastAsia" w:ascii="仿宋" w:hAnsi="仿宋" w:eastAsia="仿宋"/>
          <w:b w:val="0"/>
          <w:bCs/>
          <w:sz w:val="32"/>
          <w:szCs w:val="32"/>
        </w:rPr>
        <w:t>支出决算为2170.67万元，完成预算99.34</w:t>
      </w:r>
      <w:r>
        <w:rPr>
          <w:rStyle w:val="15"/>
          <w:rFonts w:ascii="仿宋" w:hAnsi="仿宋" w:eastAsia="仿宋"/>
          <w:b w:val="0"/>
          <w:bCs/>
          <w:sz w:val="32"/>
          <w:szCs w:val="32"/>
        </w:rPr>
        <w:t>%</w:t>
      </w:r>
      <w:r>
        <w:rPr>
          <w:rStyle w:val="15"/>
          <w:rFonts w:hint="eastAsia" w:ascii="仿宋" w:hAnsi="仿宋" w:eastAsia="仿宋"/>
          <w:b w:val="0"/>
          <w:bCs/>
          <w:sz w:val="32"/>
          <w:szCs w:val="32"/>
        </w:rPr>
        <w:t>，决算数小于预算数的主要原因是结转资金为代扣职工个人所得税，2022年1月已缴纳，现无余额。</w:t>
      </w:r>
    </w:p>
    <w:p>
      <w:pPr>
        <w:spacing w:line="600" w:lineRule="exact"/>
        <w:ind w:firstLine="640"/>
        <w:rPr>
          <w:rFonts w:ascii="仿宋" w:hAnsi="仿宋" w:eastAsia="仿宋"/>
          <w:b/>
          <w:bCs/>
          <w:sz w:val="32"/>
          <w:szCs w:val="32"/>
        </w:rPr>
      </w:pPr>
      <w:r>
        <w:rPr>
          <w:rFonts w:hint="eastAsia" w:ascii="仿宋" w:hAnsi="仿宋" w:eastAsia="仿宋"/>
          <w:b/>
          <w:bCs/>
          <w:sz w:val="32"/>
          <w:szCs w:val="32"/>
        </w:rPr>
        <w:t>8.卫生健康支出（类）公共卫生（款）基本公共卫生服务（项）：</w:t>
      </w:r>
      <w:r>
        <w:rPr>
          <w:rStyle w:val="15"/>
          <w:rFonts w:hint="eastAsia" w:ascii="仿宋" w:hAnsi="仿宋" w:eastAsia="仿宋"/>
          <w:b w:val="0"/>
          <w:bCs/>
          <w:sz w:val="32"/>
          <w:szCs w:val="32"/>
        </w:rPr>
        <w:t>支出决算为457.14万元，完成预算99.33</w:t>
      </w:r>
      <w:r>
        <w:rPr>
          <w:rStyle w:val="15"/>
          <w:rFonts w:ascii="仿宋" w:hAnsi="仿宋" w:eastAsia="仿宋"/>
          <w:b w:val="0"/>
          <w:bCs/>
          <w:sz w:val="32"/>
          <w:szCs w:val="32"/>
        </w:rPr>
        <w:t>%</w:t>
      </w:r>
      <w:r>
        <w:rPr>
          <w:rStyle w:val="15"/>
          <w:rFonts w:hint="eastAsia" w:ascii="仿宋" w:hAnsi="仿宋" w:eastAsia="仿宋"/>
          <w:b w:val="0"/>
          <w:bCs/>
          <w:sz w:val="32"/>
          <w:szCs w:val="32"/>
        </w:rPr>
        <w:t>，决算数小于预算数的主要原因是结转资金为待付的专用设备质</w:t>
      </w:r>
      <w:r>
        <w:rPr>
          <w:rStyle w:val="15"/>
          <w:rFonts w:hint="eastAsia" w:ascii="仿宋" w:hAnsi="仿宋" w:eastAsia="仿宋"/>
          <w:b w:val="0"/>
          <w:bCs/>
          <w:color w:val="auto"/>
          <w:sz w:val="32"/>
          <w:szCs w:val="32"/>
        </w:rPr>
        <w:t>量保证金，该保证金</w:t>
      </w:r>
      <w:r>
        <w:rPr>
          <w:rStyle w:val="15"/>
          <w:rFonts w:hint="eastAsia" w:ascii="仿宋" w:hAnsi="仿宋" w:eastAsia="仿宋"/>
          <w:b w:val="0"/>
          <w:bCs/>
          <w:color w:val="auto"/>
          <w:sz w:val="32"/>
          <w:szCs w:val="32"/>
          <w:lang w:eastAsia="zh-CN"/>
        </w:rPr>
        <w:t>按照采购合同</w:t>
      </w:r>
      <w:r>
        <w:rPr>
          <w:rStyle w:val="15"/>
          <w:rFonts w:hint="eastAsia" w:ascii="仿宋" w:hAnsi="仿宋" w:eastAsia="仿宋"/>
          <w:b w:val="0"/>
          <w:bCs/>
          <w:color w:val="auto"/>
          <w:sz w:val="32"/>
          <w:szCs w:val="32"/>
        </w:rPr>
        <w:t>于设备验收后1年支付。</w:t>
      </w:r>
    </w:p>
    <w:p>
      <w:pPr>
        <w:spacing w:line="600" w:lineRule="exact"/>
        <w:ind w:firstLine="630" w:firstLineChars="196"/>
        <w:rPr>
          <w:rFonts w:ascii="仿宋" w:hAnsi="仿宋" w:eastAsia="仿宋"/>
          <w:bCs/>
          <w:sz w:val="32"/>
          <w:szCs w:val="32"/>
        </w:rPr>
      </w:pPr>
      <w:r>
        <w:rPr>
          <w:rFonts w:hint="eastAsia" w:ascii="仿宋" w:hAnsi="仿宋" w:eastAsia="仿宋"/>
          <w:b/>
          <w:bCs/>
          <w:sz w:val="32"/>
          <w:szCs w:val="32"/>
        </w:rPr>
        <w:t>9.卫生健康支出（类）公共卫生（款）重大公共卫生服务（项）：</w:t>
      </w:r>
      <w:r>
        <w:rPr>
          <w:rStyle w:val="15"/>
          <w:rFonts w:hint="eastAsia" w:ascii="仿宋" w:hAnsi="仿宋" w:eastAsia="仿宋"/>
          <w:b w:val="0"/>
          <w:bCs/>
          <w:sz w:val="32"/>
          <w:szCs w:val="32"/>
        </w:rPr>
        <w:t>支出决算为892.12万元，完成预算99.99</w:t>
      </w:r>
      <w:r>
        <w:rPr>
          <w:rStyle w:val="15"/>
          <w:rFonts w:ascii="仿宋" w:hAnsi="仿宋" w:eastAsia="仿宋"/>
          <w:b w:val="0"/>
          <w:bCs/>
          <w:sz w:val="32"/>
          <w:szCs w:val="32"/>
        </w:rPr>
        <w:t>%</w:t>
      </w:r>
      <w:r>
        <w:rPr>
          <w:rStyle w:val="15"/>
          <w:rFonts w:hint="eastAsia" w:ascii="仿宋" w:hAnsi="仿宋" w:eastAsia="仿宋"/>
          <w:b w:val="0"/>
          <w:bCs/>
          <w:sz w:val="32"/>
          <w:szCs w:val="32"/>
        </w:rPr>
        <w:t>，决算数小于预算数的主要原因是结转资金为代扣专家个人所得税，2022年1月已缴纳，现无余额。</w:t>
      </w:r>
    </w:p>
    <w:p>
      <w:pPr>
        <w:spacing w:line="600" w:lineRule="exact"/>
        <w:ind w:firstLine="630" w:firstLineChars="196"/>
        <w:rPr>
          <w:rFonts w:ascii="仿宋" w:hAnsi="仿宋" w:eastAsia="仿宋"/>
          <w:bCs/>
          <w:sz w:val="32"/>
          <w:szCs w:val="32"/>
        </w:rPr>
      </w:pPr>
      <w:r>
        <w:rPr>
          <w:rFonts w:hint="eastAsia" w:ascii="仿宋" w:hAnsi="仿宋" w:eastAsia="仿宋"/>
          <w:b/>
          <w:bCs/>
          <w:sz w:val="32"/>
          <w:szCs w:val="32"/>
        </w:rPr>
        <w:t>10.卫生健康支出（类）公共卫生（款）突发公共卫生事件应急处理（项）：</w:t>
      </w:r>
      <w:r>
        <w:rPr>
          <w:rStyle w:val="15"/>
          <w:rFonts w:hint="eastAsia" w:ascii="仿宋" w:hAnsi="仿宋" w:eastAsia="仿宋"/>
          <w:b w:val="0"/>
          <w:bCs/>
          <w:sz w:val="32"/>
          <w:szCs w:val="32"/>
        </w:rPr>
        <w:t>支出决算为202.11万元，完成预算99.96</w:t>
      </w:r>
      <w:r>
        <w:rPr>
          <w:rStyle w:val="15"/>
          <w:rFonts w:ascii="仿宋" w:hAnsi="仿宋" w:eastAsia="仿宋"/>
          <w:b w:val="0"/>
          <w:bCs/>
          <w:sz w:val="32"/>
          <w:szCs w:val="32"/>
        </w:rPr>
        <w:t>%</w:t>
      </w:r>
      <w:r>
        <w:rPr>
          <w:rStyle w:val="15"/>
          <w:rFonts w:hint="eastAsia" w:ascii="仿宋" w:hAnsi="仿宋" w:eastAsia="仿宋"/>
          <w:b w:val="0"/>
          <w:bCs/>
          <w:sz w:val="32"/>
          <w:szCs w:val="32"/>
        </w:rPr>
        <w:t>，决算数小于预算数的主要原因是结转资金为代扣专家个人所得税，2022年1月已缴纳，现无余额。</w:t>
      </w:r>
    </w:p>
    <w:p>
      <w:pPr>
        <w:spacing w:line="600" w:lineRule="exact"/>
        <w:ind w:firstLine="630" w:firstLineChars="196"/>
        <w:rPr>
          <w:rFonts w:ascii="仿宋" w:hAnsi="仿宋" w:eastAsia="仿宋"/>
          <w:bCs/>
          <w:sz w:val="32"/>
          <w:szCs w:val="32"/>
        </w:rPr>
      </w:pPr>
      <w:r>
        <w:rPr>
          <w:rFonts w:hint="eastAsia" w:ascii="仿宋" w:hAnsi="仿宋" w:eastAsia="仿宋"/>
          <w:b/>
          <w:bCs/>
          <w:sz w:val="32"/>
          <w:szCs w:val="32"/>
        </w:rPr>
        <w:t>11.卫生健康支出（类）公共卫生（款）其他公共卫生支出（项）：</w:t>
      </w:r>
      <w:r>
        <w:rPr>
          <w:rStyle w:val="15"/>
          <w:rFonts w:hint="eastAsia" w:ascii="仿宋" w:hAnsi="仿宋" w:eastAsia="仿宋"/>
          <w:b w:val="0"/>
          <w:bCs/>
          <w:sz w:val="32"/>
          <w:szCs w:val="32"/>
        </w:rPr>
        <w:t>支出决算为5.91万元，完成预算100</w:t>
      </w:r>
      <w:r>
        <w:rPr>
          <w:rStyle w:val="15"/>
          <w:rFonts w:ascii="仿宋" w:hAnsi="仿宋" w:eastAsia="仿宋"/>
          <w:b w:val="0"/>
          <w:bCs/>
          <w:sz w:val="32"/>
          <w:szCs w:val="32"/>
        </w:rPr>
        <w:t>%</w:t>
      </w:r>
      <w:r>
        <w:rPr>
          <w:rStyle w:val="15"/>
          <w:rFonts w:hint="eastAsia" w:ascii="仿宋" w:hAnsi="仿宋" w:eastAsia="仿宋"/>
          <w:b w:val="0"/>
          <w:bCs/>
          <w:sz w:val="32"/>
          <w:szCs w:val="32"/>
        </w:rPr>
        <w:t>，决算数等于预算数。</w:t>
      </w:r>
    </w:p>
    <w:p>
      <w:pPr>
        <w:spacing w:line="600" w:lineRule="exact"/>
        <w:ind w:firstLine="640"/>
        <w:rPr>
          <w:rFonts w:ascii="仿宋" w:hAnsi="仿宋" w:eastAsia="仿宋"/>
          <w:b/>
          <w:sz w:val="32"/>
          <w:szCs w:val="32"/>
        </w:rPr>
      </w:pPr>
      <w:r>
        <w:rPr>
          <w:rFonts w:hint="eastAsia" w:ascii="仿宋" w:hAnsi="仿宋" w:eastAsia="仿宋"/>
          <w:b/>
          <w:bCs/>
          <w:sz w:val="32"/>
          <w:szCs w:val="32"/>
        </w:rPr>
        <w:t>12.卫生健康支出（类）行政事业单位医疗（款）事业单位医疗（项）:</w:t>
      </w:r>
      <w:r>
        <w:rPr>
          <w:rFonts w:hint="eastAsia" w:ascii="仿宋" w:hAnsi="仿宋" w:eastAsia="仿宋"/>
          <w:sz w:val="32"/>
          <w:szCs w:val="32"/>
        </w:rPr>
        <w:t xml:space="preserve"> 支出决算为98.57万元，完成预算100%，决算数等于预算数。</w:t>
      </w:r>
    </w:p>
    <w:p>
      <w:pPr>
        <w:spacing w:line="600" w:lineRule="exact"/>
        <w:ind w:firstLine="640"/>
        <w:rPr>
          <w:rFonts w:ascii="仿宋" w:hAnsi="仿宋" w:eastAsia="仿宋"/>
          <w:b/>
          <w:sz w:val="32"/>
          <w:szCs w:val="32"/>
        </w:rPr>
      </w:pPr>
      <w:r>
        <w:rPr>
          <w:rFonts w:hint="eastAsia" w:ascii="仿宋" w:hAnsi="仿宋" w:eastAsia="仿宋"/>
          <w:b/>
          <w:bCs/>
          <w:sz w:val="32"/>
          <w:szCs w:val="32"/>
        </w:rPr>
        <w:t xml:space="preserve">13.卫生健康支出（类）行政事业单位医疗（款）公务员医疗补助（项）: </w:t>
      </w:r>
      <w:r>
        <w:rPr>
          <w:rFonts w:hint="eastAsia" w:ascii="仿宋" w:hAnsi="仿宋" w:eastAsia="仿宋"/>
          <w:sz w:val="32"/>
          <w:szCs w:val="32"/>
        </w:rPr>
        <w:t>支出决算为16万元，完成预算100%，决算数等于预算数。</w:t>
      </w:r>
    </w:p>
    <w:p>
      <w:pPr>
        <w:spacing w:line="600" w:lineRule="exact"/>
        <w:ind w:firstLine="630" w:firstLineChars="196"/>
        <w:rPr>
          <w:rFonts w:ascii="仿宋" w:hAnsi="仿宋" w:eastAsia="仿宋"/>
          <w:bCs/>
          <w:sz w:val="32"/>
          <w:szCs w:val="32"/>
        </w:rPr>
      </w:pPr>
      <w:r>
        <w:rPr>
          <w:rFonts w:hint="eastAsia" w:ascii="仿宋" w:hAnsi="仿宋" w:eastAsia="仿宋"/>
          <w:b/>
          <w:bCs/>
          <w:sz w:val="32"/>
          <w:szCs w:val="32"/>
        </w:rPr>
        <w:t>14.卫生健康支出（类）其他卫生健康支出（款）其他卫生健康支出（项）:</w:t>
      </w:r>
      <w:r>
        <w:rPr>
          <w:rStyle w:val="15"/>
          <w:rFonts w:hint="eastAsia" w:ascii="仿宋" w:hAnsi="仿宋" w:eastAsia="仿宋"/>
          <w:b w:val="0"/>
          <w:bCs/>
          <w:sz w:val="32"/>
          <w:szCs w:val="32"/>
        </w:rPr>
        <w:t xml:space="preserve"> 支出决算为149.40万元，完成预算99.</w:t>
      </w:r>
      <w:r>
        <w:rPr>
          <w:rStyle w:val="15"/>
          <w:rFonts w:hint="eastAsia" w:ascii="仿宋" w:hAnsi="仿宋" w:eastAsia="仿宋"/>
          <w:b w:val="0"/>
          <w:bCs/>
          <w:color w:val="auto"/>
          <w:sz w:val="32"/>
          <w:szCs w:val="32"/>
        </w:rPr>
        <w:t>55</w:t>
      </w:r>
      <w:r>
        <w:rPr>
          <w:rStyle w:val="15"/>
          <w:rFonts w:ascii="仿宋" w:hAnsi="仿宋" w:eastAsia="仿宋"/>
          <w:b w:val="0"/>
          <w:bCs/>
          <w:color w:val="auto"/>
          <w:sz w:val="32"/>
          <w:szCs w:val="32"/>
        </w:rPr>
        <w:t>%</w:t>
      </w:r>
      <w:r>
        <w:rPr>
          <w:rStyle w:val="15"/>
          <w:rFonts w:hint="eastAsia" w:ascii="仿宋" w:hAnsi="仿宋" w:eastAsia="仿宋"/>
          <w:b w:val="0"/>
          <w:bCs/>
          <w:color w:val="auto"/>
          <w:sz w:val="32"/>
          <w:szCs w:val="32"/>
        </w:rPr>
        <w:t>，决算数小于预算数的主要原因是</w:t>
      </w:r>
      <w:r>
        <w:rPr>
          <w:rStyle w:val="15"/>
          <w:rFonts w:hint="eastAsia" w:ascii="仿宋" w:hAnsi="仿宋" w:eastAsia="仿宋"/>
          <w:b w:val="0"/>
          <w:bCs/>
          <w:color w:val="auto"/>
          <w:sz w:val="32"/>
          <w:szCs w:val="32"/>
          <w:lang w:eastAsia="zh-CN"/>
        </w:rPr>
        <w:t>中心由于新冠疫情无法按照</w:t>
      </w:r>
      <w:r>
        <w:rPr>
          <w:rStyle w:val="15"/>
          <w:rFonts w:hint="eastAsia" w:ascii="仿宋" w:hAnsi="仿宋" w:eastAsia="仿宋"/>
          <w:b w:val="0"/>
          <w:bCs/>
          <w:color w:val="auto"/>
          <w:sz w:val="32"/>
          <w:szCs w:val="32"/>
        </w:rPr>
        <w:t>2020年公共卫生体系建设</w:t>
      </w:r>
      <w:r>
        <w:rPr>
          <w:rStyle w:val="15"/>
          <w:rFonts w:hint="eastAsia" w:ascii="仿宋" w:hAnsi="仿宋" w:eastAsia="仿宋"/>
          <w:b w:val="0"/>
          <w:bCs/>
          <w:color w:val="auto"/>
          <w:sz w:val="32"/>
          <w:szCs w:val="32"/>
          <w:lang w:eastAsia="zh-CN"/>
        </w:rPr>
        <w:t>中央补助</w:t>
      </w:r>
      <w:r>
        <w:rPr>
          <w:rStyle w:val="15"/>
          <w:rFonts w:hint="eastAsia" w:ascii="仿宋" w:hAnsi="仿宋" w:eastAsia="仿宋"/>
          <w:b w:val="0"/>
          <w:bCs/>
          <w:color w:val="auto"/>
          <w:sz w:val="32"/>
          <w:szCs w:val="32"/>
        </w:rPr>
        <w:t>资金（内财社[2</w:t>
      </w:r>
      <w:r>
        <w:rPr>
          <w:rStyle w:val="15"/>
          <w:rFonts w:hint="eastAsia" w:ascii="仿宋" w:hAnsi="仿宋" w:eastAsia="仿宋"/>
          <w:b w:val="0"/>
          <w:bCs/>
          <w:color w:val="auto"/>
          <w:sz w:val="32"/>
          <w:szCs w:val="32"/>
          <w:lang w:val="en-US" w:eastAsia="zh-CN"/>
        </w:rPr>
        <w:t>020</w:t>
      </w:r>
      <w:r>
        <w:rPr>
          <w:rStyle w:val="15"/>
          <w:rFonts w:hint="eastAsia" w:ascii="仿宋" w:hAnsi="仿宋" w:eastAsia="仿宋"/>
          <w:b w:val="0"/>
          <w:bCs/>
          <w:color w:val="auto"/>
          <w:sz w:val="32"/>
          <w:szCs w:val="32"/>
        </w:rPr>
        <w:t>]</w:t>
      </w:r>
      <w:r>
        <w:rPr>
          <w:rStyle w:val="15"/>
          <w:rFonts w:hint="eastAsia" w:ascii="仿宋" w:hAnsi="仿宋" w:eastAsia="仿宋"/>
          <w:b w:val="0"/>
          <w:bCs/>
          <w:color w:val="auto"/>
          <w:sz w:val="32"/>
          <w:szCs w:val="32"/>
          <w:lang w:val="en-US" w:eastAsia="zh-CN"/>
        </w:rPr>
        <w:t>142</w:t>
      </w:r>
      <w:r>
        <w:rPr>
          <w:rStyle w:val="15"/>
          <w:rFonts w:hint="eastAsia" w:ascii="仿宋" w:hAnsi="仿宋" w:eastAsia="仿宋"/>
          <w:b w:val="0"/>
          <w:bCs/>
          <w:color w:val="auto"/>
          <w:sz w:val="32"/>
          <w:szCs w:val="32"/>
        </w:rPr>
        <w:t>号）</w:t>
      </w:r>
      <w:r>
        <w:rPr>
          <w:rStyle w:val="15"/>
          <w:rFonts w:hint="eastAsia" w:ascii="仿宋" w:hAnsi="仿宋" w:eastAsia="仿宋"/>
          <w:b w:val="0"/>
          <w:bCs/>
          <w:color w:val="auto"/>
          <w:sz w:val="32"/>
          <w:szCs w:val="32"/>
          <w:lang w:eastAsia="zh-CN"/>
        </w:rPr>
        <w:t>文件要求拟派人员外出学习而结余的培训经费</w:t>
      </w:r>
      <w:r>
        <w:rPr>
          <w:rStyle w:val="15"/>
          <w:rFonts w:hint="eastAsia" w:ascii="仿宋" w:hAnsi="仿宋" w:eastAsia="仿宋"/>
          <w:b w:val="0"/>
          <w:bCs/>
          <w:color w:val="auto"/>
          <w:sz w:val="32"/>
          <w:szCs w:val="32"/>
        </w:rPr>
        <w:t>，该结余资金已于2022年8月缴入国库。</w:t>
      </w:r>
    </w:p>
    <w:p>
      <w:pPr>
        <w:spacing w:line="600" w:lineRule="exact"/>
        <w:ind w:firstLine="643" w:firstLineChars="200"/>
        <w:rPr>
          <w:rFonts w:ascii="仿宋" w:hAnsi="仿宋" w:eastAsia="仿宋"/>
          <w:b/>
          <w:sz w:val="32"/>
          <w:szCs w:val="32"/>
        </w:rPr>
      </w:pPr>
      <w:r>
        <w:rPr>
          <w:rFonts w:hint="eastAsia" w:ascii="仿宋" w:hAnsi="仿宋" w:eastAsia="仿宋"/>
          <w:b/>
          <w:bCs/>
          <w:sz w:val="32"/>
          <w:szCs w:val="32"/>
        </w:rPr>
        <w:t>15.住房保障支出（类）住房改革支出（款）住房公积金（项）：</w:t>
      </w:r>
      <w:r>
        <w:rPr>
          <w:rFonts w:hint="eastAsia" w:ascii="仿宋" w:hAnsi="仿宋" w:eastAsia="仿宋"/>
          <w:sz w:val="32"/>
          <w:szCs w:val="32"/>
        </w:rPr>
        <w:t>支出决算为142.35万元，完成预算100%，决算数等于预算数。</w:t>
      </w:r>
    </w:p>
    <w:p>
      <w:pPr>
        <w:tabs>
          <w:tab w:val="right" w:pos="8306"/>
        </w:tabs>
        <w:spacing w:line="600" w:lineRule="exact"/>
        <w:ind w:firstLine="640"/>
        <w:outlineLvl w:val="1"/>
        <w:rPr>
          <w:rStyle w:val="26"/>
        </w:rPr>
      </w:pPr>
      <w:bookmarkStart w:id="65" w:name="_Toc15396608"/>
      <w:bookmarkStart w:id="66" w:name="_Toc15377214"/>
      <w:bookmarkStart w:id="67" w:name="_Toc114325702"/>
      <w:bookmarkStart w:id="68" w:name="_Toc11259"/>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6"/>
          <w:rFonts w:hint="eastAsia" w:ascii="黑体" w:hAnsi="黑体" w:eastAsia="黑体"/>
          <w:b w:val="0"/>
        </w:rPr>
        <w:t>般公共预算财政拨款基本支出决算情况说明</w:t>
      </w:r>
      <w:bookmarkEnd w:id="65"/>
      <w:bookmarkEnd w:id="66"/>
      <w:bookmarkEnd w:id="67"/>
      <w:bookmarkEnd w:id="68"/>
      <w:r>
        <w:rPr>
          <w:rStyle w:val="26"/>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21年一般公共预算财政拨款基本支出2637.82万元，其中：</w:t>
      </w:r>
    </w:p>
    <w:p>
      <w:pPr>
        <w:spacing w:line="600" w:lineRule="exact"/>
        <w:ind w:firstLine="645"/>
        <w:rPr>
          <w:rFonts w:hint="eastAsia" w:ascii="仿宋" w:hAnsi="仿宋" w:eastAsia="仿宋"/>
          <w:sz w:val="32"/>
          <w:szCs w:val="32"/>
          <w:lang w:eastAsia="zh-CN"/>
        </w:rPr>
      </w:pPr>
      <w:r>
        <w:rPr>
          <w:rFonts w:hint="eastAsia" w:ascii="仿宋" w:hAnsi="仿宋" w:eastAsia="仿宋"/>
          <w:sz w:val="32"/>
          <w:szCs w:val="32"/>
        </w:rPr>
        <w:t>人员经费2154.39万元，主要包括：基本工资、津贴补贴、奖金、绩效工资、机关事业单位基本养老保险缴费、职业年金缴费、职工基本医疗保险缴费、公务员医疗补助缴费、其他社会保障缴费、住房公积金、其他工资福利支出、离休费、抚恤金、奖励金、其他对个人和家庭的补助支出等。</w:t>
      </w:r>
    </w:p>
    <w:p>
      <w:pPr>
        <w:spacing w:line="600" w:lineRule="exact"/>
        <w:ind w:firstLine="645"/>
        <w:rPr>
          <w:rFonts w:ascii="仿宋" w:hAnsi="仿宋" w:eastAsia="仿宋"/>
          <w:b/>
          <w:sz w:val="32"/>
          <w:szCs w:val="32"/>
        </w:rPr>
      </w:pPr>
      <w:bookmarkStart w:id="150" w:name="_GoBack"/>
      <w:bookmarkEnd w:id="150"/>
      <w:r>
        <w:rPr>
          <w:rFonts w:hint="eastAsia" w:ascii="仿宋" w:hAnsi="仿宋" w:eastAsia="仿宋"/>
          <w:sz w:val="32"/>
          <w:szCs w:val="32"/>
        </w:rPr>
        <w:t>公用经费483.43万元，主要包括：办公费、印刷费、咨询费、手续费、水费、电费、邮电费、物业管理费、差旅费、维修（护）费、会议费、培训费、公务接待费、专用材料费、劳务费、委托业务费、工会经费、福利费、公务用车运行维护费、其他交通费、其他商品和服务支出、办公设备购置、公务用车购置、其他资本性支出等。</w:t>
      </w:r>
    </w:p>
    <w:p>
      <w:pPr>
        <w:spacing w:line="600" w:lineRule="exact"/>
        <w:ind w:firstLine="640"/>
        <w:outlineLvl w:val="1"/>
        <w:rPr>
          <w:rStyle w:val="26"/>
          <w:rFonts w:ascii="黑体" w:hAnsi="黑体" w:eastAsia="黑体"/>
          <w:b w:val="0"/>
        </w:rPr>
      </w:pPr>
      <w:bookmarkStart w:id="69" w:name="_Toc15396609"/>
      <w:bookmarkStart w:id="70" w:name="_Toc15377215"/>
      <w:bookmarkStart w:id="71" w:name="_Toc114325703"/>
      <w:bookmarkStart w:id="72" w:name="_Toc4780"/>
      <w:r>
        <w:rPr>
          <w:rFonts w:hint="eastAsia" w:ascii="黑体" w:eastAsia="黑体"/>
          <w:sz w:val="32"/>
          <w:szCs w:val="32"/>
        </w:rPr>
        <w:t>七、</w:t>
      </w:r>
      <w:r>
        <w:rPr>
          <w:rStyle w:val="26"/>
          <w:rFonts w:hint="eastAsia" w:ascii="黑体" w:hAnsi="黑体" w:eastAsia="黑体"/>
        </w:rPr>
        <w:t>“</w:t>
      </w:r>
      <w:r>
        <w:rPr>
          <w:rStyle w:val="26"/>
          <w:rFonts w:hint="eastAsia" w:ascii="黑体" w:hAnsi="黑体" w:eastAsia="黑体"/>
          <w:b w:val="0"/>
        </w:rPr>
        <w:t>三公”经费财政拨款支出决算情况说明</w:t>
      </w:r>
      <w:bookmarkEnd w:id="69"/>
      <w:bookmarkEnd w:id="70"/>
      <w:bookmarkEnd w:id="71"/>
      <w:bookmarkEnd w:id="72"/>
    </w:p>
    <w:p>
      <w:pPr>
        <w:spacing w:line="600" w:lineRule="exact"/>
        <w:ind w:firstLine="640"/>
        <w:outlineLvl w:val="2"/>
        <w:rPr>
          <w:rFonts w:ascii="仿宋" w:hAnsi="仿宋" w:eastAsia="仿宋"/>
          <w:b/>
          <w:sz w:val="32"/>
          <w:szCs w:val="32"/>
        </w:rPr>
      </w:pPr>
      <w:bookmarkStart w:id="73" w:name="_Toc15377216"/>
      <w:bookmarkStart w:id="74" w:name="_Toc114325704"/>
      <w:r>
        <w:rPr>
          <w:rFonts w:hint="eastAsia" w:ascii="仿宋" w:hAnsi="仿宋" w:eastAsia="仿宋"/>
          <w:b/>
          <w:sz w:val="32"/>
          <w:szCs w:val="32"/>
        </w:rPr>
        <w:t>（一）“三公”经费财政拨款支出决算总体情况说明</w:t>
      </w:r>
      <w:bookmarkEnd w:id="73"/>
      <w:bookmarkEnd w:id="74"/>
    </w:p>
    <w:p>
      <w:pPr>
        <w:spacing w:line="600" w:lineRule="exact"/>
        <w:ind w:firstLine="640"/>
        <w:rPr>
          <w:rFonts w:ascii="仿宋" w:hAnsi="仿宋" w:eastAsia="仿宋"/>
          <w:sz w:val="32"/>
          <w:szCs w:val="32"/>
          <w:highlight w:val="yellow"/>
        </w:rPr>
      </w:pPr>
      <w:r>
        <w:rPr>
          <w:rFonts w:ascii="仿宋" w:hAnsi="仿宋" w:eastAsia="仿宋"/>
          <w:sz w:val="32"/>
          <w:szCs w:val="32"/>
        </w:rPr>
        <w:t>20</w:t>
      </w:r>
      <w:r>
        <w:rPr>
          <w:rFonts w:hint="eastAsia" w:ascii="仿宋" w:hAnsi="仿宋" w:eastAsia="仿宋"/>
          <w:sz w:val="32"/>
          <w:szCs w:val="32"/>
        </w:rPr>
        <w:t>21年“三公”经费财政拨款支出决算为68.32万元，完成预算100</w:t>
      </w:r>
      <w:r>
        <w:rPr>
          <w:rFonts w:ascii="仿宋" w:hAnsi="仿宋" w:eastAsia="仿宋"/>
          <w:sz w:val="32"/>
          <w:szCs w:val="32"/>
        </w:rPr>
        <w:t>%</w:t>
      </w:r>
      <w:r>
        <w:rPr>
          <w:rFonts w:hint="eastAsia" w:ascii="仿宋" w:hAnsi="仿宋" w:eastAsia="仿宋"/>
          <w:sz w:val="32"/>
          <w:szCs w:val="32"/>
        </w:rPr>
        <w:t>，决算数与预算数持平的主要原因是全年按规定完成了预算安排的资金。与2020年决算相比，增加21.99万元，增长47.46</w:t>
      </w:r>
      <w:r>
        <w:rPr>
          <w:rFonts w:ascii="仿宋" w:hAnsi="仿宋" w:eastAsia="仿宋"/>
          <w:sz w:val="32"/>
          <w:szCs w:val="32"/>
        </w:rPr>
        <w:t>%</w:t>
      </w:r>
      <w:r>
        <w:rPr>
          <w:rFonts w:hint="eastAsia" w:ascii="仿宋" w:hAnsi="仿宋" w:eastAsia="仿宋"/>
          <w:sz w:val="32"/>
          <w:szCs w:val="32"/>
        </w:rPr>
        <w:t>。增长的主要原因是根据《内江市财政局 内江市卫生健康委员会关于下达2020年省级财政卫生健康专项资金的通知》（内财社[2020]133号）文件的要求，为加强疾控机构冷链系统建设，购买疫苗冷藏车和疫苗运输车各一辆。</w:t>
      </w:r>
    </w:p>
    <w:p>
      <w:pPr>
        <w:spacing w:line="600" w:lineRule="exact"/>
        <w:ind w:firstLine="640"/>
        <w:outlineLvl w:val="2"/>
        <w:rPr>
          <w:rFonts w:ascii="仿宋" w:hAnsi="仿宋" w:eastAsia="仿宋"/>
          <w:b/>
          <w:sz w:val="32"/>
          <w:szCs w:val="32"/>
        </w:rPr>
      </w:pPr>
      <w:bookmarkStart w:id="75" w:name="_Toc15377217"/>
      <w:bookmarkStart w:id="76" w:name="_Toc114325705"/>
      <w:r>
        <w:rPr>
          <w:rFonts w:hint="eastAsia" w:ascii="仿宋" w:hAnsi="仿宋" w:eastAsia="仿宋"/>
          <w:b/>
          <w:sz w:val="32"/>
          <w:szCs w:val="32"/>
        </w:rPr>
        <w:t>（二）“三公”经费财政拨款支出决算具体情况说明</w:t>
      </w:r>
      <w:bookmarkEnd w:id="75"/>
      <w:bookmarkEnd w:id="76"/>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21年“三公”经费财政拨款支出决算中，因公出国（境）费支出决算0万元，占0</w:t>
      </w:r>
      <w:r>
        <w:rPr>
          <w:rFonts w:ascii="仿宋" w:hAnsi="仿宋" w:eastAsia="仿宋"/>
          <w:sz w:val="32"/>
          <w:szCs w:val="32"/>
        </w:rPr>
        <w:t>%</w:t>
      </w:r>
      <w:r>
        <w:rPr>
          <w:rFonts w:hint="eastAsia" w:ascii="仿宋" w:hAnsi="仿宋" w:eastAsia="仿宋"/>
          <w:sz w:val="32"/>
          <w:szCs w:val="32"/>
        </w:rPr>
        <w:t>；公务用车购置及运行维护费支出决算65.51万元，占95.89</w:t>
      </w:r>
      <w:r>
        <w:rPr>
          <w:rFonts w:ascii="仿宋" w:hAnsi="仿宋" w:eastAsia="仿宋"/>
          <w:sz w:val="32"/>
          <w:szCs w:val="32"/>
        </w:rPr>
        <w:t>%</w:t>
      </w:r>
      <w:r>
        <w:rPr>
          <w:rFonts w:hint="eastAsia" w:ascii="仿宋" w:hAnsi="仿宋" w:eastAsia="仿宋"/>
          <w:sz w:val="32"/>
          <w:szCs w:val="32"/>
        </w:rPr>
        <w:t>；公务接待费支出决算2.81万元，占4.11</w:t>
      </w:r>
      <w:r>
        <w:rPr>
          <w:rFonts w:ascii="仿宋" w:hAnsi="仿宋" w:eastAsia="仿宋"/>
          <w:sz w:val="32"/>
          <w:szCs w:val="32"/>
        </w:rPr>
        <w:t>%</w:t>
      </w:r>
      <w:r>
        <w:rPr>
          <w:rFonts w:hint="eastAsia" w:ascii="仿宋" w:hAnsi="仿宋" w:eastAsia="仿宋"/>
          <w:sz w:val="32"/>
          <w:szCs w:val="32"/>
        </w:rPr>
        <w:t>。具体情况如下：</w:t>
      </w:r>
    </w:p>
    <w:p>
      <w:pPr>
        <w:spacing w:line="600" w:lineRule="exact"/>
        <w:ind w:firstLine="1609" w:firstLineChars="503"/>
        <w:rPr>
          <w:rFonts w:ascii="仿宋" w:hAnsi="仿宋" w:eastAsia="仿宋"/>
          <w:sz w:val="32"/>
          <w:szCs w:val="32"/>
        </w:rPr>
      </w:pPr>
      <w:r>
        <w:rPr>
          <w:rFonts w:hint="eastAsia" w:ascii="仿宋" w:hAnsi="仿宋" w:eastAsia="仿宋"/>
          <w:sz w:val="32"/>
          <w:szCs w:val="32"/>
        </w:rPr>
        <w:t>图7：“三公”经费财政拨款支出结构</w:t>
      </w:r>
    </w:p>
    <w:p>
      <w:pPr>
        <w:pStyle w:val="11"/>
        <w:ind w:left="840" w:hanging="420"/>
      </w:pPr>
      <w:r>
        <w:drawing>
          <wp:inline distT="0" distB="0" distL="114300" distR="114300">
            <wp:extent cx="4572000" cy="274320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rPr>
          <w:rFonts w:ascii="仿宋_GB2312" w:eastAsia="仿宋_GB2312"/>
          <w:b/>
          <w:sz w:val="32"/>
          <w:szCs w:val="32"/>
        </w:rPr>
      </w:pPr>
      <w:r>
        <w:rPr>
          <w:rFonts w:ascii="仿宋_GB2312" w:eastAsia="仿宋_GB2312"/>
          <w:b/>
          <w:sz w:val="32"/>
          <w:szCs w:val="32"/>
        </w:rPr>
        <w:t>1.</w:t>
      </w:r>
      <w:r>
        <w:rPr>
          <w:rFonts w:hint="eastAsia" w:ascii="仿宋_GB2312" w:eastAsia="仿宋_GB2312"/>
          <w:b/>
          <w:sz w:val="32"/>
          <w:szCs w:val="32"/>
        </w:rPr>
        <w:t>因公出国（境）经费支出0万元</w:t>
      </w:r>
      <w:r>
        <w:rPr>
          <w:rFonts w:hint="eastAsia" w:ascii="仿宋_GB2312" w:eastAsia="仿宋_GB2312"/>
          <w:sz w:val="32"/>
          <w:szCs w:val="32"/>
        </w:rPr>
        <w:t>，</w:t>
      </w:r>
      <w:r>
        <w:rPr>
          <w:rFonts w:hint="eastAsia" w:ascii="仿宋" w:hAnsi="仿宋" w:eastAsia="仿宋"/>
          <w:sz w:val="32"/>
          <w:szCs w:val="32"/>
        </w:rPr>
        <w:t>完成预算100</w:t>
      </w:r>
      <w:r>
        <w:rPr>
          <w:rFonts w:ascii="仿宋" w:hAnsi="仿宋" w:eastAsia="仿宋"/>
          <w:sz w:val="32"/>
          <w:szCs w:val="32"/>
        </w:rPr>
        <w:t>%</w:t>
      </w:r>
      <w:r>
        <w:rPr>
          <w:rFonts w:hint="eastAsia" w:ascii="仿宋" w:hAnsi="仿宋" w:eastAsia="仿宋"/>
          <w:sz w:val="32"/>
          <w:szCs w:val="32"/>
        </w:rPr>
        <w:t>。全年安排因公出国（境）团组0次，出国（境）0人。因公出国（境）支出决算与</w:t>
      </w:r>
      <w:r>
        <w:rPr>
          <w:rFonts w:ascii="仿宋" w:hAnsi="仿宋" w:eastAsia="仿宋"/>
          <w:sz w:val="32"/>
          <w:szCs w:val="32"/>
        </w:rPr>
        <w:t>20</w:t>
      </w:r>
      <w:r>
        <w:rPr>
          <w:rFonts w:hint="eastAsia" w:ascii="仿宋" w:hAnsi="仿宋" w:eastAsia="仿宋"/>
          <w:sz w:val="32"/>
          <w:szCs w:val="32"/>
        </w:rPr>
        <w:t>20年一致。主要原因是本年无因公出国（境）支出。</w:t>
      </w:r>
    </w:p>
    <w:p>
      <w:pPr>
        <w:spacing w:line="600" w:lineRule="exact"/>
        <w:ind w:firstLine="640"/>
        <w:rPr>
          <w:rFonts w:ascii="仿宋" w:hAnsi="仿宋" w:eastAsia="仿宋"/>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公务用车购置及运行维护费支出65.51万元</w:t>
      </w:r>
      <w:r>
        <w:rPr>
          <w:rFonts w:hint="eastAsia" w:ascii="仿宋_GB2312" w:eastAsia="仿宋_GB2312"/>
          <w:sz w:val="32"/>
          <w:szCs w:val="32"/>
        </w:rPr>
        <w:t>,</w:t>
      </w:r>
      <w:r>
        <w:rPr>
          <w:rFonts w:hint="eastAsia" w:ascii="仿宋" w:hAnsi="仿宋" w:eastAsia="仿宋"/>
          <w:sz w:val="32"/>
          <w:szCs w:val="32"/>
        </w:rPr>
        <w:t>完成预算100%。公务用车购置及运行维护费支出决算比2020年增加20.72万元，增长46.26%。增长的主要原因是根据《内江市财政局 内江市卫生健康委员会关于下达2020年省级财政卫生健康专项资金的通知》（内财社[2020]133号）文件的要求，为加强疾控机构冷链系统建设，购买疫苗冷藏车和疫苗运输车各一辆。</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公务用车购置支出44.12万元</w:t>
      </w:r>
      <w:r>
        <w:rPr>
          <w:rFonts w:hint="eastAsia" w:ascii="仿宋_GB2312" w:eastAsia="仿宋_GB2312"/>
          <w:sz w:val="32"/>
          <w:szCs w:val="32"/>
        </w:rPr>
        <w:t>。全年按规定更新购置公务用车</w:t>
      </w:r>
      <w:r>
        <w:rPr>
          <w:rFonts w:hint="eastAsia" w:ascii="仿宋_GB2312" w:eastAsia="仿宋_GB2312"/>
          <w:sz w:val="32"/>
          <w:szCs w:val="32"/>
          <w:lang w:val="en-US" w:eastAsia="zh-CN"/>
        </w:rPr>
        <w:t>2</w:t>
      </w:r>
      <w:r>
        <w:rPr>
          <w:rFonts w:hint="eastAsia" w:ascii="仿宋_GB2312" w:eastAsia="仿宋_GB2312"/>
          <w:sz w:val="32"/>
          <w:szCs w:val="32"/>
        </w:rPr>
        <w:t>辆，其中：</w:t>
      </w:r>
      <w:r>
        <w:rPr>
          <w:rFonts w:hint="eastAsia" w:ascii="仿宋" w:hAnsi="仿宋" w:eastAsia="仿宋"/>
          <w:sz w:val="32"/>
          <w:szCs w:val="32"/>
        </w:rPr>
        <w:t>特种专业技术用车</w:t>
      </w:r>
      <w:r>
        <w:rPr>
          <w:rFonts w:hint="eastAsia" w:ascii="仿宋" w:hAnsi="仿宋" w:eastAsia="仿宋"/>
          <w:sz w:val="32"/>
          <w:szCs w:val="32"/>
          <w:lang w:val="en-US" w:eastAsia="zh-CN"/>
        </w:rPr>
        <w:t>2</w:t>
      </w:r>
      <w:r>
        <w:rPr>
          <w:rFonts w:hint="eastAsia" w:ascii="仿宋" w:hAnsi="仿宋" w:eastAsia="仿宋"/>
          <w:sz w:val="32"/>
          <w:szCs w:val="32"/>
        </w:rPr>
        <w:t>辆</w:t>
      </w:r>
      <w:r>
        <w:rPr>
          <w:rFonts w:hint="eastAsia" w:ascii="仿宋_GB2312" w:eastAsia="仿宋_GB2312"/>
          <w:sz w:val="32"/>
          <w:szCs w:val="32"/>
        </w:rPr>
        <w:t>，主要用于疫苗的冷藏运输。</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21年</w:t>
      </w:r>
      <w:r>
        <w:rPr>
          <w:rFonts w:ascii="仿宋_GB2312" w:eastAsia="仿宋_GB2312"/>
          <w:sz w:val="32"/>
          <w:szCs w:val="32"/>
        </w:rPr>
        <w:t>12</w:t>
      </w:r>
      <w:r>
        <w:rPr>
          <w:rFonts w:hint="eastAsia" w:ascii="仿宋_GB2312" w:eastAsia="仿宋_GB2312"/>
          <w:sz w:val="32"/>
          <w:szCs w:val="32"/>
        </w:rPr>
        <w:t>月底，单位共有公务用车9辆，其中：应急</w:t>
      </w:r>
      <w:r>
        <w:rPr>
          <w:rFonts w:hint="eastAsia" w:ascii="仿宋" w:hAnsi="仿宋" w:eastAsia="仿宋"/>
          <w:sz w:val="32"/>
          <w:szCs w:val="32"/>
        </w:rPr>
        <w:t>保障用车1辆、特种专业技术用车8辆。</w:t>
      </w:r>
    </w:p>
    <w:p>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公务用车运行维护费支出21.39万元</w:t>
      </w:r>
      <w:r>
        <w:rPr>
          <w:rFonts w:hint="eastAsia" w:ascii="仿宋_GB2312" w:eastAsia="仿宋_GB2312"/>
          <w:sz w:val="32"/>
          <w:szCs w:val="32"/>
        </w:rPr>
        <w:t>。主要用于</w:t>
      </w:r>
      <w:r>
        <w:rPr>
          <w:rFonts w:hint="eastAsia" w:ascii="仿宋" w:hAnsi="仿宋" w:eastAsia="仿宋"/>
          <w:sz w:val="32"/>
          <w:szCs w:val="32"/>
        </w:rPr>
        <w:t>保障全市卫生应急、疾病预防控制等</w:t>
      </w:r>
      <w:r>
        <w:rPr>
          <w:rFonts w:hint="eastAsia" w:ascii="仿宋_GB2312" w:eastAsia="仿宋_GB2312"/>
          <w:sz w:val="32"/>
          <w:szCs w:val="32"/>
        </w:rPr>
        <w:t>所需的公务用车燃料费、维修费、过路过桥费、保险费等支出。</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公务接待费支出2.81万元</w:t>
      </w:r>
      <w:r>
        <w:rPr>
          <w:rFonts w:hint="eastAsia" w:ascii="仿宋_GB2312" w:eastAsia="仿宋_GB2312"/>
          <w:sz w:val="32"/>
          <w:szCs w:val="32"/>
        </w:rPr>
        <w:t>，</w:t>
      </w:r>
      <w:r>
        <w:rPr>
          <w:rStyle w:val="15"/>
          <w:rFonts w:hint="eastAsia" w:ascii="仿宋" w:hAnsi="仿宋" w:eastAsia="仿宋"/>
          <w:b w:val="0"/>
          <w:bCs/>
          <w:sz w:val="32"/>
          <w:szCs w:val="32"/>
        </w:rPr>
        <w:t>完成预算93.67</w:t>
      </w:r>
      <w:r>
        <w:rPr>
          <w:rStyle w:val="15"/>
          <w:rFonts w:ascii="仿宋" w:hAnsi="仿宋" w:eastAsia="仿宋"/>
          <w:b w:val="0"/>
          <w:bCs/>
          <w:sz w:val="32"/>
          <w:szCs w:val="32"/>
        </w:rPr>
        <w:t>%</w:t>
      </w:r>
      <w:r>
        <w:rPr>
          <w:rStyle w:val="15"/>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20年增加1.27万元，增长82.47</w:t>
      </w:r>
      <w:r>
        <w:rPr>
          <w:rFonts w:ascii="仿宋_GB2312" w:eastAsia="仿宋_GB2312"/>
          <w:sz w:val="32"/>
          <w:szCs w:val="32"/>
        </w:rPr>
        <w:t>%</w:t>
      </w:r>
      <w:r>
        <w:rPr>
          <w:rFonts w:hint="eastAsia" w:ascii="仿宋_GB2312" w:eastAsia="仿宋_GB2312"/>
          <w:sz w:val="32"/>
          <w:szCs w:val="32"/>
        </w:rPr>
        <w:t>。主要原因是2020年由于受新冠疫情影响，减少了公务接待支出，</w:t>
      </w:r>
      <w:r>
        <w:rPr>
          <w:rFonts w:hint="eastAsia" w:ascii="仿宋_GB2312" w:hAnsi="仿宋_GB2312" w:eastAsia="仿宋_GB2312"/>
          <w:color w:val="000000"/>
          <w:sz w:val="32"/>
          <w:szCs w:val="32"/>
          <w:shd w:val="solid" w:color="FFFFFF" w:fill="auto"/>
        </w:rPr>
        <w:t>而2021年其他单位到中心进行交流学习和工作检查的次数增多。</w:t>
      </w:r>
      <w:r>
        <w:rPr>
          <w:rFonts w:hint="eastAsia" w:ascii="仿宋_GB2312" w:eastAsia="仿宋_GB2312"/>
          <w:sz w:val="32"/>
          <w:szCs w:val="32"/>
        </w:rPr>
        <w:t>其中：</w:t>
      </w:r>
    </w:p>
    <w:p>
      <w:pPr>
        <w:spacing w:line="600" w:lineRule="exact"/>
        <w:ind w:firstLine="640"/>
        <w:rPr>
          <w:rFonts w:hint="default" w:ascii="仿宋_GB2312" w:eastAsia="仿宋_GB2312"/>
          <w:color w:val="auto"/>
          <w:sz w:val="32"/>
          <w:szCs w:val="32"/>
          <w:lang w:val="en-US" w:eastAsia="zh-CN"/>
        </w:rPr>
      </w:pPr>
      <w:r>
        <w:rPr>
          <w:rFonts w:hint="eastAsia" w:ascii="仿宋" w:hAnsi="仿宋" w:eastAsia="仿宋"/>
          <w:b/>
          <w:color w:val="auto"/>
          <w:sz w:val="32"/>
          <w:szCs w:val="32"/>
        </w:rPr>
        <w:t>国内公务接待支</w:t>
      </w:r>
      <w:r>
        <w:rPr>
          <w:rFonts w:hint="eastAsia" w:ascii="仿宋_GB2312" w:eastAsia="仿宋_GB2312"/>
          <w:b/>
          <w:color w:val="auto"/>
          <w:sz w:val="32"/>
          <w:szCs w:val="32"/>
        </w:rPr>
        <w:t>出2.81万元</w:t>
      </w:r>
      <w:r>
        <w:rPr>
          <w:rFonts w:hint="eastAsia" w:ascii="仿宋_GB2312" w:eastAsia="仿宋_GB2312"/>
          <w:color w:val="auto"/>
          <w:sz w:val="32"/>
          <w:szCs w:val="32"/>
        </w:rPr>
        <w:t>，主要用于与其他单位交流工作及接受相关部门检查指导工作发生用餐费等接待支出。国内公务接待26批次，</w:t>
      </w:r>
      <w:r>
        <w:rPr>
          <w:rFonts w:hint="eastAsia" w:ascii="仿宋_GB2312" w:eastAsia="仿宋_GB2312"/>
          <w:color w:val="auto"/>
          <w:sz w:val="32"/>
          <w:szCs w:val="32"/>
          <w:lang w:eastAsia="zh-CN"/>
        </w:rPr>
        <w:t>接待</w:t>
      </w:r>
      <w:r>
        <w:rPr>
          <w:rFonts w:hint="eastAsia" w:ascii="仿宋_GB2312" w:eastAsia="仿宋_GB2312"/>
          <w:color w:val="auto"/>
          <w:sz w:val="32"/>
          <w:szCs w:val="32"/>
        </w:rPr>
        <w:t>192人次，共计支出2.81万元，具体内容包括</w:t>
      </w:r>
      <w:r>
        <w:rPr>
          <w:rFonts w:hint="eastAsia" w:ascii="仿宋_GB2312" w:eastAsia="仿宋_GB2312"/>
          <w:color w:val="auto"/>
          <w:sz w:val="32"/>
          <w:szCs w:val="32"/>
          <w:lang w:eastAsia="zh-CN"/>
        </w:rPr>
        <w:t>：</w:t>
      </w:r>
      <w:r>
        <w:rPr>
          <w:rFonts w:hint="eastAsia" w:ascii="仿宋_GB2312" w:eastAsia="仿宋_GB2312"/>
          <w:color w:val="auto"/>
          <w:sz w:val="32"/>
          <w:szCs w:val="32"/>
        </w:rPr>
        <w:t>省职业医学质量控制中心来单位指导调研</w:t>
      </w:r>
      <w:r>
        <w:rPr>
          <w:rFonts w:hint="eastAsia" w:ascii="仿宋_GB2312" w:eastAsia="仿宋_GB2312"/>
          <w:color w:val="auto"/>
          <w:sz w:val="32"/>
          <w:szCs w:val="32"/>
          <w:lang w:val="en-US" w:eastAsia="zh-CN"/>
        </w:rPr>
        <w:t>0.07万元；省卫健委来单位进行职业病诊断机构质量考核0.09万元；省疾控中心来单位开展疫苗临床试验现场考察工作0.14万元；省疾控来单位检查流感监测工作0.06万元；省疾控来单位检查病媒生物防治工作0.09万元；各县区疾控中心主任来单位参加工作座谈会0.17万元；省卫生健康信息中心来单位调研信息化建设工作0.07万元；泸州江阳区疾控来单位交流学习0.09万元；绵阳市疾控来单位交流学习0.17万元；攀枝花疾控来单位交流学习0.10万元；西昌市疾控来单位交流学习0.10万元；四川大学华西公共卫生学院来单位交流学习0.16万元；资阳市疾控来单位交流学习0.22万元；省疾控中心来单位开展新冠疫苗接种技术指导0.04万元；省疾控中心来单位检查传染病网络直报、信息安全工作0.12万元；省疾控中心来单位开展放射卫生质控考核0.08万元；省疾控中心来单位开展蜱虫监测、病媒生物防制技术指导0.05万元；省卫健委来单位开展放射卫生技术服务机构延续现场审查工作0.09万元；省疾控中心来单位开展现场调研和联合工作0.04万元；阿坝州疾控来单位交流学习0.08万元；省疾控中心来单位开展血防指导工作0.04万元；省疾控中心来单位开展放射本底调查及中财项目指导工作0.06万元；重庆江津区、大渡口区疾控中心来单位交流学习0.42万元；成都医学院来单位调研交流0.06万元；省疾控中心来单位对职业病防治项目及健康企业创建进行现场调研0.09万元；省卫健委、省疾控中心来单位进行新冠疫苗接种率调查0.11万元。</w:t>
      </w:r>
    </w:p>
    <w:p>
      <w:pPr>
        <w:spacing w:line="600" w:lineRule="exact"/>
        <w:ind w:firstLine="643" w:firstLineChars="200"/>
        <w:rPr>
          <w:rFonts w:ascii="黑体" w:eastAsia="黑体"/>
          <w:sz w:val="32"/>
          <w:szCs w:val="32"/>
        </w:rPr>
      </w:pPr>
      <w:r>
        <w:rPr>
          <w:rFonts w:hint="eastAsia" w:ascii="仿宋" w:hAnsi="仿宋" w:eastAsia="仿宋"/>
          <w:b/>
          <w:sz w:val="32"/>
          <w:szCs w:val="32"/>
        </w:rPr>
        <w:t>外事接待支出</w:t>
      </w:r>
      <w:r>
        <w:rPr>
          <w:rFonts w:hint="eastAsia" w:ascii="仿宋" w:hAnsi="仿宋" w:eastAsia="仿宋"/>
          <w:sz w:val="32"/>
          <w:szCs w:val="32"/>
        </w:rPr>
        <w:t>0</w:t>
      </w:r>
      <w:r>
        <w:rPr>
          <w:rFonts w:hint="eastAsia" w:ascii="仿宋_GB2312" w:eastAsia="仿宋_GB2312"/>
          <w:sz w:val="32"/>
          <w:szCs w:val="32"/>
        </w:rPr>
        <w:t>万元，外事接待0批次，0人。</w:t>
      </w:r>
      <w:bookmarkStart w:id="77" w:name="_Toc15377218"/>
      <w:bookmarkStart w:id="78" w:name="_Toc15396610"/>
    </w:p>
    <w:p>
      <w:pPr>
        <w:spacing w:line="600" w:lineRule="exact"/>
        <w:ind w:firstLine="640"/>
        <w:outlineLvl w:val="1"/>
        <w:rPr>
          <w:rStyle w:val="26"/>
          <w:rFonts w:ascii="黑体" w:hAnsi="黑体" w:eastAsia="黑体"/>
        </w:rPr>
      </w:pPr>
      <w:bookmarkStart w:id="79" w:name="_Toc114325706"/>
      <w:bookmarkStart w:id="80" w:name="_Toc2183"/>
      <w:r>
        <w:rPr>
          <w:rFonts w:hint="eastAsia" w:ascii="黑体" w:eastAsia="黑体"/>
          <w:sz w:val="32"/>
          <w:szCs w:val="32"/>
        </w:rPr>
        <w:t>八、</w:t>
      </w:r>
      <w:r>
        <w:rPr>
          <w:rStyle w:val="26"/>
          <w:rFonts w:hint="eastAsia" w:ascii="黑体" w:hAnsi="黑体" w:eastAsia="黑体"/>
          <w:b w:val="0"/>
        </w:rPr>
        <w:t>政府性基金预算支出决算情况说明</w:t>
      </w:r>
      <w:bookmarkEnd w:id="77"/>
      <w:bookmarkEnd w:id="78"/>
      <w:bookmarkEnd w:id="79"/>
      <w:bookmarkEnd w:id="80"/>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21年政府性基金预算财政拨款支出794.87万元。</w:t>
      </w:r>
    </w:p>
    <w:p>
      <w:pPr>
        <w:numPr>
          <w:ilvl w:val="0"/>
          <w:numId w:val="2"/>
        </w:numPr>
        <w:spacing w:line="600" w:lineRule="exact"/>
        <w:ind w:firstLine="640"/>
        <w:outlineLvl w:val="1"/>
        <w:rPr>
          <w:rStyle w:val="26"/>
          <w:rFonts w:ascii="黑体" w:hAnsi="黑体" w:eastAsia="黑体"/>
          <w:b w:val="0"/>
        </w:rPr>
      </w:pPr>
      <w:bookmarkStart w:id="81" w:name="_Toc15396611"/>
      <w:bookmarkStart w:id="82" w:name="_Toc114325707"/>
      <w:bookmarkStart w:id="83" w:name="_Toc15377219"/>
      <w:bookmarkStart w:id="84" w:name="_Toc32223"/>
      <w:r>
        <w:rPr>
          <w:rStyle w:val="26"/>
          <w:rFonts w:hint="eastAsia" w:ascii="黑体" w:hAnsi="黑体" w:eastAsia="黑体"/>
          <w:b w:val="0"/>
        </w:rPr>
        <w:t>国有资本经营预算支出决算情况说明</w:t>
      </w:r>
      <w:bookmarkEnd w:id="81"/>
      <w:bookmarkEnd w:id="82"/>
      <w:bookmarkEnd w:id="83"/>
      <w:bookmarkEnd w:id="84"/>
    </w:p>
    <w:p>
      <w:pPr>
        <w:spacing w:line="600" w:lineRule="exact"/>
        <w:ind w:firstLine="640"/>
        <w:rPr>
          <w:rFonts w:ascii="方正小标宋简体" w:hAnsi="方正小标宋简体" w:eastAsia="方正小标宋简体" w:cs="方正小标宋简体"/>
          <w:sz w:val="44"/>
          <w:szCs w:val="44"/>
        </w:rPr>
      </w:pPr>
      <w:r>
        <w:rPr>
          <w:rFonts w:ascii="仿宋_GB2312" w:eastAsia="仿宋_GB2312"/>
          <w:sz w:val="32"/>
          <w:szCs w:val="32"/>
        </w:rPr>
        <w:t>20</w:t>
      </w:r>
      <w:r>
        <w:rPr>
          <w:rFonts w:hint="eastAsia" w:ascii="仿宋_GB2312" w:eastAsia="仿宋_GB2312"/>
          <w:sz w:val="32"/>
          <w:szCs w:val="32"/>
        </w:rPr>
        <w:t>21年国有资本经营预算财政拨款支出0万元。</w:t>
      </w:r>
    </w:p>
    <w:p>
      <w:pPr>
        <w:numPr>
          <w:ilvl w:val="0"/>
          <w:numId w:val="2"/>
        </w:numPr>
        <w:spacing w:line="600" w:lineRule="exact"/>
        <w:ind w:firstLine="640"/>
        <w:outlineLvl w:val="1"/>
        <w:rPr>
          <w:rStyle w:val="26"/>
          <w:rFonts w:ascii="黑体" w:hAnsi="黑体" w:eastAsia="黑体"/>
          <w:b w:val="0"/>
        </w:rPr>
      </w:pPr>
      <w:bookmarkStart w:id="85" w:name="_Toc15377221"/>
      <w:bookmarkStart w:id="86" w:name="_Toc15396612"/>
      <w:bookmarkStart w:id="87" w:name="_Toc114325708"/>
      <w:bookmarkStart w:id="88" w:name="_Toc23313"/>
      <w:r>
        <w:rPr>
          <w:rStyle w:val="26"/>
          <w:rFonts w:hint="eastAsia" w:ascii="黑体" w:hAnsi="黑体" w:eastAsia="黑体"/>
          <w:b w:val="0"/>
        </w:rPr>
        <w:t>其他重要事项的情况说明</w:t>
      </w:r>
      <w:bookmarkEnd w:id="85"/>
      <w:bookmarkEnd w:id="86"/>
      <w:bookmarkEnd w:id="87"/>
      <w:bookmarkEnd w:id="88"/>
    </w:p>
    <w:p>
      <w:pPr>
        <w:spacing w:line="600" w:lineRule="exact"/>
        <w:ind w:firstLine="643" w:firstLineChars="200"/>
        <w:outlineLvl w:val="2"/>
        <w:rPr>
          <w:rFonts w:ascii="仿宋" w:hAnsi="仿宋" w:eastAsia="仿宋"/>
          <w:sz w:val="32"/>
          <w:szCs w:val="32"/>
        </w:rPr>
      </w:pPr>
      <w:bookmarkStart w:id="89" w:name="_Toc15377222"/>
      <w:bookmarkStart w:id="90" w:name="_Toc114325709"/>
      <w:r>
        <w:rPr>
          <w:rFonts w:hint="eastAsia" w:ascii="仿宋" w:hAnsi="仿宋" w:eastAsia="仿宋"/>
          <w:b/>
          <w:sz w:val="32"/>
          <w:szCs w:val="32"/>
        </w:rPr>
        <w:t>（一）机关运行经费支出情况</w:t>
      </w:r>
      <w:bookmarkEnd w:id="89"/>
      <w:bookmarkEnd w:id="90"/>
    </w:p>
    <w:p>
      <w:pPr>
        <w:spacing w:line="600" w:lineRule="exact"/>
        <w:ind w:firstLine="640" w:firstLineChars="200"/>
        <w:rPr>
          <w:rFonts w:ascii="仿宋_GB2312" w:eastAsia="仿宋_GB2312"/>
          <w:sz w:val="32"/>
          <w:szCs w:val="32"/>
        </w:rPr>
      </w:pPr>
      <w:r>
        <w:rPr>
          <w:rFonts w:hint="eastAsia" w:ascii="仿宋_GB2312" w:eastAsia="仿宋_GB2312"/>
          <w:sz w:val="32"/>
          <w:szCs w:val="32"/>
        </w:rPr>
        <w:t>2021年，市疾控中心机关运行经费支出0万元</w:t>
      </w:r>
      <w:r>
        <w:rPr>
          <w:rFonts w:hint="eastAsia" w:ascii="仿宋_GB2312" w:eastAsia="仿宋_GB2312"/>
          <w:color w:val="000000"/>
          <w:sz w:val="32"/>
          <w:szCs w:val="32"/>
        </w:rPr>
        <w:t>，与2020年持平</w:t>
      </w:r>
      <w:r>
        <w:rPr>
          <w:rFonts w:hint="eastAsia" w:ascii="仿宋_GB2312" w:eastAsia="仿宋_GB2312"/>
          <w:sz w:val="32"/>
          <w:szCs w:val="32"/>
        </w:rPr>
        <w:t>。</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91" w:name="_Toc15377223"/>
      <w:bookmarkStart w:id="92" w:name="_Toc114325710"/>
      <w:r>
        <w:rPr>
          <w:rFonts w:hint="eastAsia" w:ascii="仿宋" w:hAnsi="仿宋" w:eastAsia="仿宋"/>
          <w:b/>
          <w:sz w:val="32"/>
          <w:szCs w:val="32"/>
        </w:rPr>
        <w:t>（二）政府采购支出情况</w:t>
      </w:r>
      <w:bookmarkEnd w:id="91"/>
      <w:bookmarkEnd w:id="92"/>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市疾控中心政府采购支出总额196.04万元，其中：政府采购货物支出196.04万元、政府采购工程支出0万元、政府采购服务支出0万元。主要用于购买办公家具、办公电脑和专业检验检测用设备等。授予中小企业合同金额131.38万元，占政府采购支出总额的67.02</w:t>
      </w:r>
      <w:r>
        <w:rPr>
          <w:rFonts w:ascii="仿宋_GB2312" w:eastAsia="仿宋_GB2312"/>
          <w:sz w:val="32"/>
          <w:szCs w:val="32"/>
        </w:rPr>
        <w:t>%</w:t>
      </w:r>
      <w:r>
        <w:rPr>
          <w:rFonts w:hint="eastAsia" w:ascii="仿宋_GB2312" w:eastAsia="仿宋_GB2312"/>
          <w:sz w:val="32"/>
          <w:szCs w:val="32"/>
        </w:rPr>
        <w:t>，其中：授予小微企业合同金额131.38万元，占政府采购支出总额的67.02</w:t>
      </w:r>
      <w:r>
        <w:rPr>
          <w:rFonts w:ascii="仿宋_GB2312" w:eastAsia="仿宋_GB2312"/>
          <w:sz w:val="32"/>
          <w:szCs w:val="32"/>
        </w:rPr>
        <w:t>%</w:t>
      </w:r>
      <w:r>
        <w:rPr>
          <w:rFonts w:hint="eastAsia" w:ascii="仿宋_GB2312" w:eastAsia="仿宋_GB2312"/>
          <w:sz w:val="32"/>
          <w:szCs w:val="32"/>
        </w:rPr>
        <w:t>。</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93" w:name="_Toc114325711"/>
      <w:bookmarkStart w:id="94" w:name="_Toc15377224"/>
      <w:r>
        <w:rPr>
          <w:rFonts w:hint="eastAsia" w:ascii="仿宋" w:hAnsi="仿宋" w:eastAsia="仿宋"/>
          <w:b/>
          <w:sz w:val="32"/>
          <w:szCs w:val="32"/>
        </w:rPr>
        <w:t>（三）国有资产占有使用情况</w:t>
      </w:r>
      <w:bookmarkEnd w:id="93"/>
      <w:bookmarkEnd w:id="94"/>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21年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日，市疾控中心共有车辆9辆，其中：主要领导干部用车0辆、机要通信用车0辆、应急保障用车1辆、特种专业技术用车8辆、其他用车0辆。单价</w:t>
      </w:r>
      <w:r>
        <w:rPr>
          <w:rFonts w:ascii="仿宋_GB2312" w:eastAsia="仿宋_GB2312"/>
          <w:sz w:val="32"/>
          <w:szCs w:val="32"/>
        </w:rPr>
        <w:t>50</w:t>
      </w:r>
      <w:r>
        <w:rPr>
          <w:rFonts w:hint="eastAsia" w:ascii="仿宋_GB2312" w:eastAsia="仿宋_GB2312"/>
          <w:sz w:val="32"/>
          <w:szCs w:val="32"/>
        </w:rPr>
        <w:t>万元以上通用设备5台（套），单价</w:t>
      </w:r>
      <w:r>
        <w:rPr>
          <w:rFonts w:ascii="仿宋_GB2312" w:eastAsia="仿宋_GB2312"/>
          <w:sz w:val="32"/>
          <w:szCs w:val="32"/>
        </w:rPr>
        <w:t>100</w:t>
      </w:r>
      <w:r>
        <w:rPr>
          <w:rFonts w:hint="eastAsia" w:ascii="仿宋_GB2312" w:eastAsia="仿宋_GB2312"/>
          <w:sz w:val="32"/>
          <w:szCs w:val="32"/>
        </w:rPr>
        <w:t>万元以上专用设备7台（套）。</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95" w:name="_Toc114325712"/>
      <w:r>
        <w:rPr>
          <w:rFonts w:hint="eastAsia" w:ascii="仿宋" w:hAnsi="仿宋" w:eastAsia="仿宋"/>
          <w:b/>
          <w:sz w:val="32"/>
          <w:szCs w:val="32"/>
        </w:rPr>
        <w:t>（四）预算绩效管理情况</w:t>
      </w:r>
      <w:bookmarkEnd w:id="95"/>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单位在2021年度预算编制阶段，组织对艾滋病配套项目、重点疾病监测防控项目两个项目开展了预算事前绩效评估，对两个项目编制了绩效目标，预算执行过程中，选取两个项目开展绩效监控，年终执行完毕后，对两个项目开展了绩效自评，2021年特定目标类部门预算项目绩效目标自评表见附件（第四部分）。</w:t>
      </w:r>
    </w:p>
    <w:p>
      <w:pPr>
        <w:pStyle w:val="2"/>
        <w:spacing w:before="93"/>
        <w:rPr>
          <w:highlight w:val="yellow"/>
        </w:rPr>
      </w:pPr>
    </w:p>
    <w:p>
      <w:pPr>
        <w:widowControl/>
        <w:jc w:val="left"/>
        <w:rPr>
          <w:rFonts w:ascii="仿宋_GB2312" w:eastAsia="仿宋_GB2312"/>
          <w:b/>
          <w:sz w:val="32"/>
          <w:szCs w:val="32"/>
        </w:rPr>
      </w:pPr>
      <w:r>
        <w:rPr>
          <w:rFonts w:ascii="仿宋_GB2312" w:eastAsia="仿宋_GB2312"/>
          <w:b/>
          <w:sz w:val="32"/>
          <w:szCs w:val="32"/>
        </w:rPr>
        <w:br w:type="page"/>
      </w:r>
    </w:p>
    <w:p>
      <w:pPr>
        <w:numPr>
          <w:ilvl w:val="0"/>
          <w:numId w:val="3"/>
        </w:numPr>
        <w:spacing w:line="600" w:lineRule="exact"/>
        <w:ind w:firstLine="660" w:firstLineChars="150"/>
        <w:jc w:val="center"/>
        <w:outlineLvl w:val="0"/>
        <w:rPr>
          <w:rStyle w:val="25"/>
          <w:rFonts w:ascii="黑体" w:hAnsi="黑体" w:eastAsia="黑体"/>
          <w:b w:val="0"/>
        </w:rPr>
      </w:pPr>
      <w:bookmarkStart w:id="96" w:name="_Toc15377225"/>
      <w:bookmarkStart w:id="97" w:name="_Toc114325713"/>
      <w:bookmarkStart w:id="98" w:name="_Toc15396613"/>
      <w:bookmarkStart w:id="99" w:name="_Toc1536"/>
      <w:r>
        <w:rPr>
          <w:rFonts w:hint="eastAsia" w:ascii="黑体" w:hAnsi="黑体" w:eastAsia="黑体"/>
          <w:sz w:val="44"/>
          <w:szCs w:val="44"/>
        </w:rPr>
        <w:t>名</w:t>
      </w:r>
      <w:r>
        <w:rPr>
          <w:rStyle w:val="25"/>
          <w:rFonts w:hint="eastAsia" w:ascii="黑体" w:hAnsi="黑体" w:eastAsia="黑体"/>
          <w:b w:val="0"/>
        </w:rPr>
        <w:t>词解释</w:t>
      </w:r>
      <w:bookmarkEnd w:id="96"/>
      <w:bookmarkEnd w:id="97"/>
      <w:bookmarkEnd w:id="98"/>
      <w:bookmarkEnd w:id="99"/>
    </w:p>
    <w:p>
      <w:pPr>
        <w:spacing w:line="600" w:lineRule="exact"/>
        <w:jc w:val="left"/>
        <w:rPr>
          <w:rFonts w:ascii="宋体"/>
          <w:b/>
          <w:sz w:val="44"/>
          <w:szCs w:val="44"/>
        </w:rPr>
      </w:pPr>
    </w:p>
    <w:p>
      <w:pPr>
        <w:spacing w:line="600" w:lineRule="exact"/>
        <w:ind w:firstLine="640" w:firstLineChars="200"/>
        <w:rPr>
          <w:rFonts w:ascii="仿宋" w:hAnsi="仿宋" w:eastAsia="仿宋"/>
          <w:sz w:val="32"/>
          <w:szCs w:val="32"/>
        </w:rPr>
      </w:pPr>
      <w:bookmarkStart w:id="100" w:name="_Toc15377226"/>
      <w:r>
        <w:rPr>
          <w:rFonts w:ascii="仿宋" w:hAnsi="仿宋" w:eastAsia="仿宋"/>
          <w:sz w:val="32"/>
          <w:szCs w:val="32"/>
        </w:rPr>
        <w:t>1.</w:t>
      </w:r>
      <w:r>
        <w:rPr>
          <w:rFonts w:hint="eastAsia" w:ascii="仿宋" w:hAnsi="仿宋" w:eastAsia="仿宋"/>
          <w:sz w:val="32"/>
          <w:szCs w:val="32"/>
        </w:rPr>
        <w:t>财政拨款收入：指单位从同级财政部门取得的财政预算资金。</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w:t>
      </w:r>
      <w:r>
        <w:rPr>
          <w:rFonts w:hint="eastAsia" w:ascii="仿宋" w:hAnsi="仿宋" w:eastAsia="仿宋"/>
          <w:sz w:val="32"/>
          <w:szCs w:val="32"/>
        </w:rPr>
        <w:t>其他收入：指单位取得的除上述收入以外的各项收入，主要是临床试验经费。</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w:t>
      </w:r>
      <w:r>
        <w:rPr>
          <w:rFonts w:hint="eastAsia" w:ascii="仿宋" w:hAnsi="仿宋" w:eastAsia="仿宋"/>
          <w:sz w:val="32"/>
          <w:szCs w:val="32"/>
        </w:rPr>
        <w:t>年初结转和结余：指以前年度尚未完成、结转到本年按有关规定继续使用的资金。</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4.年末结转和结余：指单位按有关规定结转到下年或以后年度继续使用的资金。</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5</w:t>
      </w:r>
      <w:r>
        <w:rPr>
          <w:rFonts w:ascii="仿宋" w:hAnsi="仿宋" w:eastAsia="仿宋"/>
          <w:sz w:val="32"/>
          <w:szCs w:val="32"/>
        </w:rPr>
        <w:t>.</w:t>
      </w:r>
      <w:r>
        <w:rPr>
          <w:rFonts w:hint="eastAsia" w:ascii="仿宋" w:hAnsi="仿宋" w:eastAsia="仿宋"/>
          <w:sz w:val="32"/>
          <w:szCs w:val="32"/>
        </w:rPr>
        <w:t>教育支出（类）进修及培训（款）培训支出（项）：指单位安排的用于培训的支出。</w:t>
      </w:r>
    </w:p>
    <w:p>
      <w:pPr>
        <w:spacing w:line="600" w:lineRule="exact"/>
        <w:ind w:firstLine="640" w:firstLineChars="200"/>
        <w:rPr>
          <w:rFonts w:hint="eastAsia" w:ascii="仿宋" w:hAnsi="仿宋" w:eastAsia="仿宋"/>
          <w:sz w:val="32"/>
          <w:szCs w:val="32"/>
          <w:lang w:eastAsia="zh-CN"/>
        </w:rPr>
      </w:pPr>
      <w:r>
        <w:rPr>
          <w:rFonts w:hint="eastAsia" w:ascii="仿宋" w:hAnsi="仿宋" w:eastAsia="仿宋"/>
          <w:sz w:val="32"/>
          <w:szCs w:val="32"/>
        </w:rPr>
        <w:t xml:space="preserve">6.社会保障和就业支出（类）行政事业单位离退休（款）行政单位离退休（项）: </w:t>
      </w:r>
      <w:r>
        <w:rPr>
          <w:rFonts w:hint="eastAsia" w:ascii="仿宋" w:hAnsi="仿宋" w:eastAsia="仿宋"/>
          <w:sz w:val="32"/>
          <w:szCs w:val="32"/>
          <w:lang w:eastAsia="zh-CN"/>
        </w:rPr>
        <w:t>指行政单位（包括实行公务员管理的事业单位）开支的离退休经费。</w:t>
      </w:r>
    </w:p>
    <w:p>
      <w:pPr>
        <w:spacing w:line="600" w:lineRule="exact"/>
        <w:ind w:firstLine="640" w:firstLineChars="200"/>
        <w:rPr>
          <w:rFonts w:ascii="仿宋" w:hAnsi="仿宋" w:eastAsia="仿宋"/>
          <w:sz w:val="32"/>
          <w:szCs w:val="32"/>
        </w:rPr>
      </w:pPr>
      <w:r>
        <w:rPr>
          <w:rFonts w:hint="eastAsia" w:ascii="仿宋" w:hAnsi="仿宋" w:eastAsia="仿宋"/>
          <w:sz w:val="32"/>
          <w:szCs w:val="32"/>
          <w:lang w:val="en-US" w:eastAsia="zh-CN"/>
        </w:rPr>
        <w:t>7.</w:t>
      </w:r>
      <w:r>
        <w:rPr>
          <w:rFonts w:ascii="仿宋" w:hAnsi="仿宋" w:eastAsia="仿宋"/>
          <w:sz w:val="32"/>
          <w:szCs w:val="32"/>
        </w:rPr>
        <w:t>社会保障和就业</w:t>
      </w:r>
      <w:r>
        <w:rPr>
          <w:rFonts w:hint="eastAsia" w:ascii="仿宋" w:hAnsi="仿宋" w:eastAsia="仿宋"/>
          <w:sz w:val="32"/>
          <w:szCs w:val="32"/>
        </w:rPr>
        <w:t>支出</w:t>
      </w:r>
      <w:r>
        <w:rPr>
          <w:rFonts w:ascii="仿宋" w:hAnsi="仿宋" w:eastAsia="仿宋"/>
          <w:sz w:val="32"/>
          <w:szCs w:val="32"/>
        </w:rPr>
        <w:t>（类）行政事业单位</w:t>
      </w:r>
      <w:r>
        <w:rPr>
          <w:rFonts w:hint="eastAsia" w:ascii="仿宋" w:hAnsi="仿宋" w:eastAsia="仿宋"/>
          <w:sz w:val="32"/>
          <w:szCs w:val="32"/>
        </w:rPr>
        <w:t>养老支出</w:t>
      </w:r>
      <w:r>
        <w:rPr>
          <w:rFonts w:ascii="仿宋" w:hAnsi="仿宋" w:eastAsia="仿宋"/>
          <w:sz w:val="32"/>
          <w:szCs w:val="32"/>
        </w:rPr>
        <w:t>（款）事业单位离退休（项）：指</w:t>
      </w:r>
      <w:r>
        <w:rPr>
          <w:rFonts w:hint="eastAsia" w:ascii="仿宋" w:hAnsi="仿宋" w:eastAsia="仿宋"/>
          <w:sz w:val="32"/>
          <w:szCs w:val="32"/>
        </w:rPr>
        <w:t>事业单位开支的</w:t>
      </w:r>
      <w:r>
        <w:rPr>
          <w:rFonts w:ascii="仿宋" w:hAnsi="仿宋" w:eastAsia="仿宋"/>
          <w:sz w:val="32"/>
          <w:szCs w:val="32"/>
        </w:rPr>
        <w:t>离退休</w:t>
      </w:r>
      <w:r>
        <w:rPr>
          <w:rFonts w:hint="eastAsia" w:ascii="仿宋" w:hAnsi="仿宋" w:eastAsia="仿宋"/>
          <w:sz w:val="32"/>
          <w:szCs w:val="32"/>
        </w:rPr>
        <w:t>经费</w:t>
      </w:r>
      <w:r>
        <w:rPr>
          <w:rFonts w:ascii="仿宋" w:hAnsi="仿宋" w:eastAsia="仿宋"/>
          <w:sz w:val="32"/>
          <w:szCs w:val="32"/>
        </w:rPr>
        <w:t>。</w:t>
      </w:r>
    </w:p>
    <w:p>
      <w:pPr>
        <w:spacing w:line="600" w:lineRule="exact"/>
        <w:ind w:firstLine="640" w:firstLineChars="200"/>
        <w:rPr>
          <w:rFonts w:ascii="仿宋" w:hAnsi="仿宋" w:eastAsia="仿宋"/>
          <w:sz w:val="32"/>
          <w:szCs w:val="32"/>
        </w:rPr>
      </w:pPr>
      <w:r>
        <w:rPr>
          <w:rFonts w:hint="eastAsia" w:ascii="仿宋" w:hAnsi="仿宋" w:eastAsia="仿宋"/>
          <w:sz w:val="32"/>
          <w:szCs w:val="32"/>
          <w:lang w:val="en-US" w:eastAsia="zh-CN"/>
        </w:rPr>
        <w:t>8</w:t>
      </w:r>
      <w:r>
        <w:rPr>
          <w:rFonts w:hint="eastAsia" w:ascii="仿宋" w:hAnsi="仿宋" w:eastAsia="仿宋"/>
          <w:sz w:val="32"/>
          <w:szCs w:val="32"/>
        </w:rPr>
        <w:t>.</w:t>
      </w:r>
      <w:r>
        <w:rPr>
          <w:rFonts w:ascii="仿宋" w:hAnsi="仿宋" w:eastAsia="仿宋"/>
          <w:sz w:val="32"/>
          <w:szCs w:val="32"/>
        </w:rPr>
        <w:t>社会保障和就业</w:t>
      </w:r>
      <w:r>
        <w:rPr>
          <w:rFonts w:hint="eastAsia" w:ascii="仿宋" w:hAnsi="仿宋" w:eastAsia="仿宋"/>
          <w:sz w:val="32"/>
          <w:szCs w:val="32"/>
        </w:rPr>
        <w:t>支出</w:t>
      </w:r>
      <w:r>
        <w:rPr>
          <w:rFonts w:ascii="仿宋" w:hAnsi="仿宋" w:eastAsia="仿宋"/>
          <w:sz w:val="32"/>
          <w:szCs w:val="32"/>
        </w:rPr>
        <w:t>（类）行政事业单位</w:t>
      </w:r>
      <w:r>
        <w:rPr>
          <w:rFonts w:hint="eastAsia" w:ascii="仿宋" w:hAnsi="仿宋" w:eastAsia="仿宋"/>
          <w:sz w:val="32"/>
          <w:szCs w:val="32"/>
        </w:rPr>
        <w:t>养老支出</w:t>
      </w:r>
      <w:r>
        <w:rPr>
          <w:rFonts w:ascii="仿宋" w:hAnsi="仿宋" w:eastAsia="仿宋"/>
          <w:sz w:val="32"/>
          <w:szCs w:val="32"/>
        </w:rPr>
        <w:t>（款）机关事业单位基本养老保险缴费支出（项）：指</w:t>
      </w:r>
      <w:r>
        <w:rPr>
          <w:rFonts w:hint="eastAsia" w:ascii="仿宋" w:hAnsi="仿宋" w:eastAsia="仿宋"/>
          <w:sz w:val="32"/>
          <w:szCs w:val="32"/>
        </w:rPr>
        <w:t>机关事业单位</w:t>
      </w:r>
      <w:r>
        <w:rPr>
          <w:rFonts w:ascii="仿宋" w:hAnsi="仿宋" w:eastAsia="仿宋"/>
          <w:sz w:val="32"/>
          <w:szCs w:val="32"/>
        </w:rPr>
        <w:t>实施养老保险制度由单位缴纳的</w:t>
      </w:r>
      <w:r>
        <w:rPr>
          <w:rFonts w:hint="eastAsia" w:ascii="仿宋" w:hAnsi="仿宋" w:eastAsia="仿宋"/>
          <w:sz w:val="32"/>
          <w:szCs w:val="32"/>
        </w:rPr>
        <w:t>基本</w:t>
      </w:r>
      <w:r>
        <w:rPr>
          <w:rFonts w:ascii="仿宋" w:hAnsi="仿宋" w:eastAsia="仿宋"/>
          <w:sz w:val="32"/>
          <w:szCs w:val="32"/>
        </w:rPr>
        <w:t>养老保险费支出。</w:t>
      </w:r>
    </w:p>
    <w:p>
      <w:pPr>
        <w:spacing w:line="600" w:lineRule="exact"/>
        <w:ind w:firstLine="640" w:firstLineChars="200"/>
        <w:rPr>
          <w:rFonts w:hint="eastAsia" w:eastAsia="仿宋"/>
          <w:lang w:val="en-US" w:eastAsia="zh-CN"/>
        </w:rPr>
      </w:pPr>
      <w:r>
        <w:rPr>
          <w:rFonts w:hint="eastAsia" w:ascii="仿宋" w:hAnsi="仿宋" w:eastAsia="仿宋"/>
          <w:sz w:val="32"/>
          <w:szCs w:val="32"/>
          <w:lang w:val="en-US" w:eastAsia="zh-CN"/>
        </w:rPr>
        <w:t>9</w:t>
      </w:r>
      <w:r>
        <w:rPr>
          <w:rFonts w:hint="eastAsia" w:ascii="仿宋" w:hAnsi="仿宋" w:eastAsia="仿宋"/>
          <w:sz w:val="32"/>
          <w:szCs w:val="32"/>
        </w:rPr>
        <w:t>.</w:t>
      </w:r>
      <w:r>
        <w:rPr>
          <w:rFonts w:ascii="仿宋" w:hAnsi="仿宋" w:eastAsia="仿宋"/>
          <w:sz w:val="32"/>
          <w:szCs w:val="32"/>
        </w:rPr>
        <w:t>社会保障和就业</w:t>
      </w:r>
      <w:r>
        <w:rPr>
          <w:rFonts w:hint="eastAsia" w:ascii="仿宋" w:hAnsi="仿宋" w:eastAsia="仿宋"/>
          <w:sz w:val="32"/>
          <w:szCs w:val="32"/>
        </w:rPr>
        <w:t>支出</w:t>
      </w:r>
      <w:r>
        <w:rPr>
          <w:rFonts w:ascii="仿宋" w:hAnsi="仿宋" w:eastAsia="仿宋"/>
          <w:sz w:val="32"/>
          <w:szCs w:val="32"/>
        </w:rPr>
        <w:t>（类）行政事业单位</w:t>
      </w:r>
      <w:r>
        <w:rPr>
          <w:rFonts w:hint="eastAsia" w:ascii="仿宋" w:hAnsi="仿宋" w:eastAsia="仿宋"/>
          <w:sz w:val="32"/>
          <w:szCs w:val="32"/>
        </w:rPr>
        <w:t>养老支出</w:t>
      </w:r>
      <w:r>
        <w:rPr>
          <w:rFonts w:ascii="仿宋" w:hAnsi="仿宋" w:eastAsia="仿宋"/>
          <w:sz w:val="32"/>
          <w:szCs w:val="32"/>
        </w:rPr>
        <w:t>（款）机关事业单位</w:t>
      </w:r>
      <w:r>
        <w:rPr>
          <w:rFonts w:hint="eastAsia" w:ascii="仿宋" w:hAnsi="仿宋" w:eastAsia="仿宋"/>
          <w:sz w:val="32"/>
          <w:szCs w:val="32"/>
        </w:rPr>
        <w:t>职业年金缴费支出（项）：</w:t>
      </w:r>
      <w:r>
        <w:rPr>
          <w:rFonts w:ascii="仿宋" w:hAnsi="仿宋" w:eastAsia="仿宋"/>
          <w:sz w:val="32"/>
          <w:szCs w:val="32"/>
        </w:rPr>
        <w:t>指</w:t>
      </w:r>
      <w:r>
        <w:rPr>
          <w:rFonts w:hint="eastAsia" w:ascii="仿宋" w:hAnsi="仿宋" w:eastAsia="仿宋"/>
          <w:sz w:val="32"/>
          <w:szCs w:val="32"/>
        </w:rPr>
        <w:t>机关事业单位</w:t>
      </w:r>
      <w:r>
        <w:rPr>
          <w:rFonts w:ascii="仿宋" w:hAnsi="仿宋" w:eastAsia="仿宋"/>
          <w:sz w:val="32"/>
          <w:szCs w:val="32"/>
        </w:rPr>
        <w:t>实施养老保险制度由单位</w:t>
      </w:r>
      <w:r>
        <w:rPr>
          <w:rFonts w:hint="eastAsia" w:ascii="仿宋" w:hAnsi="仿宋" w:eastAsia="仿宋"/>
          <w:sz w:val="32"/>
          <w:szCs w:val="32"/>
        </w:rPr>
        <w:t>实际</w:t>
      </w:r>
      <w:r>
        <w:rPr>
          <w:rFonts w:ascii="仿宋" w:hAnsi="仿宋" w:eastAsia="仿宋"/>
          <w:sz w:val="32"/>
          <w:szCs w:val="32"/>
        </w:rPr>
        <w:t>缴纳的</w:t>
      </w:r>
      <w:r>
        <w:rPr>
          <w:rFonts w:hint="eastAsia" w:ascii="仿宋" w:hAnsi="仿宋" w:eastAsia="仿宋"/>
          <w:sz w:val="32"/>
          <w:szCs w:val="32"/>
        </w:rPr>
        <w:t>职业年金支出。</w:t>
      </w:r>
    </w:p>
    <w:p>
      <w:pPr>
        <w:spacing w:line="600" w:lineRule="exact"/>
        <w:ind w:firstLine="640" w:firstLineChars="200"/>
        <w:rPr>
          <w:rFonts w:hint="eastAsia" w:ascii="仿宋" w:hAnsi="仿宋" w:eastAsia="仿宋"/>
          <w:sz w:val="32"/>
          <w:szCs w:val="32"/>
          <w:lang w:eastAsia="zh-CN"/>
        </w:rPr>
      </w:pPr>
      <w:r>
        <w:rPr>
          <w:rFonts w:hint="eastAsia" w:ascii="仿宋" w:hAnsi="仿宋" w:eastAsia="仿宋"/>
          <w:sz w:val="32"/>
          <w:szCs w:val="32"/>
          <w:lang w:val="en-US" w:eastAsia="zh-CN"/>
        </w:rPr>
        <w:t>10</w:t>
      </w:r>
      <w:r>
        <w:rPr>
          <w:rFonts w:ascii="仿宋" w:hAnsi="仿宋" w:eastAsia="仿宋"/>
          <w:sz w:val="32"/>
          <w:szCs w:val="32"/>
        </w:rPr>
        <w:t>.</w:t>
      </w:r>
      <w:r>
        <w:rPr>
          <w:rFonts w:hint="eastAsia" w:ascii="仿宋" w:hAnsi="仿宋" w:eastAsia="仿宋"/>
          <w:sz w:val="32"/>
          <w:szCs w:val="32"/>
        </w:rPr>
        <w:t>社会保障和就业支出（类）行政事业单位离退休（款）其他行政事业单位养老支出：</w:t>
      </w:r>
      <w:r>
        <w:rPr>
          <w:rFonts w:hint="eastAsia" w:ascii="仿宋" w:hAnsi="仿宋" w:eastAsia="仿宋"/>
          <w:sz w:val="32"/>
          <w:szCs w:val="32"/>
          <w:lang w:eastAsia="zh-CN"/>
        </w:rPr>
        <w:t>除上述项目以外其他用于行政事业单位养老方面的支出。</w:t>
      </w:r>
    </w:p>
    <w:p>
      <w:pPr>
        <w:spacing w:line="600" w:lineRule="exact"/>
        <w:ind w:firstLine="640" w:firstLineChars="200"/>
        <w:rPr>
          <w:rFonts w:ascii="仿宋" w:hAnsi="仿宋" w:eastAsia="仿宋"/>
          <w:sz w:val="32"/>
          <w:szCs w:val="32"/>
        </w:rPr>
      </w:pPr>
      <w:r>
        <w:rPr>
          <w:rFonts w:hint="eastAsia" w:ascii="仿宋" w:hAnsi="仿宋" w:eastAsia="仿宋"/>
          <w:sz w:val="32"/>
          <w:szCs w:val="32"/>
          <w:lang w:val="en-US" w:eastAsia="zh-CN"/>
        </w:rPr>
        <w:t>11.</w:t>
      </w:r>
      <w:r>
        <w:rPr>
          <w:rFonts w:hint="eastAsia" w:ascii="仿宋" w:hAnsi="仿宋" w:eastAsia="仿宋"/>
          <w:sz w:val="32"/>
          <w:szCs w:val="32"/>
        </w:rPr>
        <w:t>卫生健康支出（类）公共卫生（款）疾病预防控制机构（项）：指卫生健康部门所属疾病预防控制机构的支出。</w:t>
      </w:r>
    </w:p>
    <w:p>
      <w:pPr>
        <w:ind w:firstLine="640" w:firstLineChars="200"/>
        <w:rPr>
          <w:rFonts w:ascii="仿宋" w:hAnsi="仿宋" w:eastAsia="仿宋"/>
          <w:sz w:val="32"/>
          <w:szCs w:val="32"/>
        </w:rPr>
      </w:pPr>
      <w:r>
        <w:rPr>
          <w:rFonts w:hint="eastAsia" w:ascii="仿宋" w:hAnsi="仿宋" w:eastAsia="仿宋"/>
          <w:sz w:val="32"/>
          <w:szCs w:val="32"/>
        </w:rPr>
        <w:t>1</w:t>
      </w:r>
      <w:r>
        <w:rPr>
          <w:rFonts w:hint="eastAsia" w:ascii="仿宋" w:hAnsi="仿宋" w:eastAsia="仿宋"/>
          <w:sz w:val="32"/>
          <w:szCs w:val="32"/>
          <w:lang w:val="en-US" w:eastAsia="zh-CN"/>
        </w:rPr>
        <w:t>2</w:t>
      </w:r>
      <w:r>
        <w:rPr>
          <w:rFonts w:hint="eastAsia" w:ascii="仿宋" w:hAnsi="仿宋" w:eastAsia="仿宋"/>
          <w:sz w:val="32"/>
          <w:szCs w:val="32"/>
        </w:rPr>
        <w:t>.卫生健康支出（类）公共卫生（款）重大公共卫生专项（项）：指重大疾病、重大传染病预防控制等重大公共卫生服务项目支出。</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1</w:t>
      </w:r>
      <w:r>
        <w:rPr>
          <w:rFonts w:hint="eastAsia" w:ascii="仿宋" w:hAnsi="仿宋" w:eastAsia="仿宋"/>
          <w:sz w:val="32"/>
          <w:szCs w:val="32"/>
          <w:lang w:val="en-US" w:eastAsia="zh-CN"/>
        </w:rPr>
        <w:t>3</w:t>
      </w:r>
      <w:r>
        <w:rPr>
          <w:rFonts w:hint="eastAsia" w:ascii="仿宋" w:hAnsi="仿宋" w:eastAsia="仿宋"/>
          <w:sz w:val="32"/>
          <w:szCs w:val="32"/>
        </w:rPr>
        <w:t>.卫生健康支出（类）公共卫生（款）基本公共卫生支出（项）：指基本公共卫生服务支出。</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1</w:t>
      </w:r>
      <w:r>
        <w:rPr>
          <w:rFonts w:hint="eastAsia" w:ascii="仿宋" w:hAnsi="仿宋" w:eastAsia="仿宋"/>
          <w:sz w:val="32"/>
          <w:szCs w:val="32"/>
          <w:lang w:val="en-US" w:eastAsia="zh-CN"/>
        </w:rPr>
        <w:t>4</w:t>
      </w:r>
      <w:r>
        <w:rPr>
          <w:rFonts w:hint="eastAsia" w:ascii="仿宋" w:hAnsi="仿宋" w:eastAsia="仿宋"/>
          <w:sz w:val="32"/>
          <w:szCs w:val="32"/>
        </w:rPr>
        <w:t>.卫生健康支出（类）公共卫生(款)突发公共卫生事件应急处理(项)</w:t>
      </w:r>
      <w:r>
        <w:rPr>
          <w:rFonts w:hint="eastAsia" w:ascii="仿宋" w:hAnsi="仿宋" w:eastAsia="仿宋"/>
          <w:sz w:val="32"/>
          <w:szCs w:val="32"/>
          <w:lang w:eastAsia="zh-CN"/>
        </w:rPr>
        <w:t>：</w:t>
      </w:r>
      <w:r>
        <w:rPr>
          <w:rFonts w:hint="eastAsia" w:ascii="仿宋" w:hAnsi="仿宋" w:eastAsia="仿宋"/>
          <w:sz w:val="32"/>
          <w:szCs w:val="32"/>
        </w:rPr>
        <w:t>指用于突发公共卫生事件应急处理的支出。</w:t>
      </w:r>
    </w:p>
    <w:p>
      <w:pPr>
        <w:spacing w:line="600" w:lineRule="exact"/>
        <w:ind w:firstLine="640" w:firstLineChars="200"/>
        <w:rPr>
          <w:rFonts w:hint="eastAsia" w:ascii="仿宋" w:hAnsi="仿宋" w:eastAsia="仿宋"/>
          <w:sz w:val="32"/>
          <w:szCs w:val="32"/>
          <w:lang w:eastAsia="zh-CN"/>
        </w:rPr>
      </w:pPr>
      <w:r>
        <w:rPr>
          <w:rFonts w:hint="eastAsia" w:ascii="仿宋" w:hAnsi="仿宋" w:eastAsia="仿宋"/>
          <w:sz w:val="32"/>
          <w:szCs w:val="32"/>
        </w:rPr>
        <w:t>1</w:t>
      </w:r>
      <w:r>
        <w:rPr>
          <w:rFonts w:hint="eastAsia" w:ascii="仿宋" w:hAnsi="仿宋" w:eastAsia="仿宋"/>
          <w:sz w:val="32"/>
          <w:szCs w:val="32"/>
          <w:lang w:val="en-US" w:eastAsia="zh-CN"/>
        </w:rPr>
        <w:t>5</w:t>
      </w:r>
      <w:r>
        <w:rPr>
          <w:rFonts w:hint="eastAsia" w:ascii="仿宋" w:hAnsi="仿宋" w:eastAsia="仿宋"/>
          <w:sz w:val="32"/>
          <w:szCs w:val="32"/>
        </w:rPr>
        <w:t>.卫生健康支出（类）公共卫生（款）其他公共卫生支出（项）</w:t>
      </w:r>
      <w:r>
        <w:rPr>
          <w:rFonts w:hint="eastAsia" w:ascii="仿宋" w:hAnsi="仿宋" w:eastAsia="仿宋"/>
          <w:sz w:val="32"/>
          <w:szCs w:val="32"/>
          <w:lang w:eastAsia="zh-CN"/>
        </w:rPr>
        <w:t>：反映除上述项目以外的其他用于公共卫生方面的支出。</w:t>
      </w:r>
    </w:p>
    <w:p>
      <w:pPr>
        <w:spacing w:line="600" w:lineRule="exact"/>
        <w:ind w:firstLine="640" w:firstLineChars="200"/>
        <w:rPr>
          <w:rFonts w:ascii="仿宋" w:hAnsi="仿宋" w:eastAsia="仿宋"/>
          <w:sz w:val="32"/>
          <w:szCs w:val="32"/>
        </w:rPr>
      </w:pPr>
      <w:r>
        <w:rPr>
          <w:rFonts w:hint="eastAsia" w:ascii="仿宋" w:hAnsi="仿宋" w:eastAsia="仿宋"/>
          <w:sz w:val="32"/>
          <w:szCs w:val="32"/>
          <w:lang w:val="en-US" w:eastAsia="zh-CN"/>
        </w:rPr>
        <w:t>16.</w:t>
      </w:r>
      <w:r>
        <w:rPr>
          <w:rFonts w:hint="eastAsia" w:ascii="仿宋" w:hAnsi="仿宋" w:eastAsia="仿宋"/>
          <w:sz w:val="32"/>
          <w:szCs w:val="32"/>
        </w:rPr>
        <w:t>卫生健康支出（类）行政事业单位医疗（款）事业单位医疗（项）：</w:t>
      </w:r>
      <w:r>
        <w:rPr>
          <w:rFonts w:ascii="仿宋" w:hAnsi="仿宋" w:eastAsia="仿宋"/>
          <w:sz w:val="32"/>
          <w:szCs w:val="32"/>
        </w:rPr>
        <w:t>指</w:t>
      </w:r>
      <w:r>
        <w:rPr>
          <w:rFonts w:hint="eastAsia" w:ascii="仿宋" w:hAnsi="仿宋" w:eastAsia="仿宋"/>
          <w:sz w:val="32"/>
          <w:szCs w:val="32"/>
        </w:rPr>
        <w:t>财政部门安排的</w:t>
      </w:r>
      <w:r>
        <w:rPr>
          <w:rFonts w:ascii="仿宋" w:hAnsi="仿宋" w:eastAsia="仿宋"/>
          <w:sz w:val="32"/>
          <w:szCs w:val="32"/>
        </w:rPr>
        <w:t>事业单位</w:t>
      </w:r>
      <w:r>
        <w:rPr>
          <w:rFonts w:hint="eastAsia" w:ascii="仿宋" w:hAnsi="仿宋" w:eastAsia="仿宋"/>
          <w:sz w:val="32"/>
          <w:szCs w:val="32"/>
        </w:rPr>
        <w:t>基本医疗保险缴费经费</w:t>
      </w:r>
      <w:r>
        <w:rPr>
          <w:rFonts w:ascii="仿宋" w:hAnsi="仿宋" w:eastAsia="仿宋"/>
          <w:sz w:val="32"/>
          <w:szCs w:val="32"/>
        </w:rPr>
        <w:t>。</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1</w:t>
      </w:r>
      <w:r>
        <w:rPr>
          <w:rFonts w:hint="eastAsia" w:ascii="仿宋" w:hAnsi="仿宋" w:eastAsia="仿宋"/>
          <w:sz w:val="32"/>
          <w:szCs w:val="32"/>
          <w:lang w:val="en-US" w:eastAsia="zh-CN"/>
        </w:rPr>
        <w:t>7</w:t>
      </w:r>
      <w:r>
        <w:rPr>
          <w:rFonts w:hint="eastAsia" w:ascii="仿宋" w:hAnsi="仿宋" w:eastAsia="仿宋"/>
          <w:sz w:val="32"/>
          <w:szCs w:val="32"/>
        </w:rPr>
        <w:t>.卫生健康支出</w:t>
      </w:r>
      <w:r>
        <w:rPr>
          <w:rFonts w:ascii="仿宋" w:hAnsi="仿宋" w:eastAsia="仿宋"/>
          <w:sz w:val="32"/>
          <w:szCs w:val="32"/>
        </w:rPr>
        <w:t>（类）行政事业单位医疗（款）公务员医疗补助（项）：指</w:t>
      </w:r>
      <w:r>
        <w:rPr>
          <w:rFonts w:hint="eastAsia" w:ascii="仿宋" w:hAnsi="仿宋" w:eastAsia="仿宋"/>
          <w:sz w:val="32"/>
          <w:szCs w:val="32"/>
        </w:rPr>
        <w:t>财政部门安排的公务员医疗补助经费</w:t>
      </w:r>
      <w:r>
        <w:rPr>
          <w:rFonts w:ascii="仿宋" w:hAnsi="仿宋" w:eastAsia="仿宋"/>
          <w:sz w:val="32"/>
          <w:szCs w:val="32"/>
        </w:rPr>
        <w:t>。</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1</w:t>
      </w:r>
      <w:r>
        <w:rPr>
          <w:rFonts w:hint="eastAsia" w:ascii="仿宋" w:hAnsi="仿宋" w:eastAsia="仿宋"/>
          <w:sz w:val="32"/>
          <w:szCs w:val="32"/>
          <w:lang w:val="en-US" w:eastAsia="zh-CN"/>
        </w:rPr>
        <w:t>8</w:t>
      </w:r>
      <w:r>
        <w:rPr>
          <w:rFonts w:hint="eastAsia" w:ascii="仿宋" w:hAnsi="仿宋" w:eastAsia="仿宋"/>
          <w:sz w:val="32"/>
          <w:szCs w:val="32"/>
        </w:rPr>
        <w:t>.卫生健康支出</w:t>
      </w:r>
      <w:r>
        <w:rPr>
          <w:rFonts w:ascii="仿宋" w:hAnsi="仿宋" w:eastAsia="仿宋"/>
          <w:sz w:val="32"/>
          <w:szCs w:val="32"/>
        </w:rPr>
        <w:t>（类）</w:t>
      </w:r>
      <w:r>
        <w:rPr>
          <w:rFonts w:hint="eastAsia" w:ascii="仿宋" w:hAnsi="仿宋" w:eastAsia="仿宋"/>
          <w:sz w:val="32"/>
          <w:szCs w:val="32"/>
        </w:rPr>
        <w:t>其他卫生健康支出（款）其他卫生健康支出（项）：指除上述项目以外其他用于卫生健康方面的支出。</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1</w:t>
      </w:r>
      <w:r>
        <w:rPr>
          <w:rFonts w:hint="eastAsia" w:ascii="仿宋" w:hAnsi="仿宋" w:eastAsia="仿宋"/>
          <w:sz w:val="32"/>
          <w:szCs w:val="32"/>
          <w:lang w:val="en-US" w:eastAsia="zh-CN"/>
        </w:rPr>
        <w:t>9</w:t>
      </w:r>
      <w:r>
        <w:rPr>
          <w:rFonts w:hint="eastAsia" w:ascii="仿宋" w:hAnsi="仿宋" w:eastAsia="仿宋"/>
          <w:sz w:val="32"/>
          <w:szCs w:val="32"/>
        </w:rPr>
        <w:t>.</w:t>
      </w:r>
      <w:r>
        <w:rPr>
          <w:rFonts w:ascii="仿宋" w:hAnsi="仿宋" w:eastAsia="仿宋"/>
          <w:sz w:val="32"/>
          <w:szCs w:val="32"/>
        </w:rPr>
        <w:t>住房保障</w:t>
      </w:r>
      <w:r>
        <w:rPr>
          <w:rFonts w:hint="eastAsia" w:ascii="仿宋" w:hAnsi="仿宋" w:eastAsia="仿宋"/>
          <w:sz w:val="32"/>
          <w:szCs w:val="32"/>
        </w:rPr>
        <w:t>支出</w:t>
      </w:r>
      <w:r>
        <w:rPr>
          <w:rFonts w:ascii="仿宋" w:hAnsi="仿宋" w:eastAsia="仿宋"/>
          <w:sz w:val="32"/>
          <w:szCs w:val="32"/>
        </w:rPr>
        <w:t>（类）住房改革支出（款）住房公积金（项）：</w:t>
      </w:r>
      <w:r>
        <w:rPr>
          <w:rFonts w:hint="eastAsia" w:ascii="仿宋" w:hAnsi="仿宋" w:eastAsia="仿宋"/>
          <w:sz w:val="32"/>
          <w:szCs w:val="32"/>
        </w:rPr>
        <w:t>指行政事业按人力资源和社会保障部、财政部规定的基本工资和津贴补贴以及规定比例为职工缴纳的住房公积金。</w:t>
      </w:r>
    </w:p>
    <w:p>
      <w:pPr>
        <w:spacing w:line="600" w:lineRule="exact"/>
        <w:ind w:firstLine="640" w:firstLineChars="200"/>
        <w:rPr>
          <w:rFonts w:ascii="仿宋" w:hAnsi="仿宋" w:eastAsia="仿宋"/>
          <w:sz w:val="32"/>
          <w:szCs w:val="32"/>
        </w:rPr>
      </w:pPr>
      <w:r>
        <w:rPr>
          <w:rFonts w:hint="eastAsia" w:ascii="仿宋" w:hAnsi="仿宋" w:eastAsia="仿宋"/>
          <w:sz w:val="32"/>
          <w:szCs w:val="32"/>
          <w:lang w:val="en-US" w:eastAsia="zh-CN"/>
        </w:rPr>
        <w:t>20</w:t>
      </w:r>
      <w:r>
        <w:rPr>
          <w:rFonts w:hint="eastAsia" w:ascii="仿宋" w:hAnsi="仿宋" w:eastAsia="仿宋"/>
          <w:sz w:val="32"/>
          <w:szCs w:val="32"/>
        </w:rPr>
        <w:t>.抗疫特别国债安排的支出（类）基础设施建设（款）重大疫情防控救治体系建设（项）：指抗疫特别国债资金安排的重大疫情防控救治体系建设支出。</w:t>
      </w:r>
    </w:p>
    <w:p>
      <w:pPr>
        <w:spacing w:line="600" w:lineRule="exact"/>
        <w:ind w:firstLine="640" w:firstLineChars="200"/>
        <w:rPr>
          <w:rFonts w:ascii="仿宋" w:hAnsi="仿宋" w:eastAsia="仿宋"/>
          <w:sz w:val="32"/>
          <w:szCs w:val="32"/>
        </w:rPr>
      </w:pPr>
      <w:r>
        <w:rPr>
          <w:rFonts w:hint="eastAsia" w:ascii="仿宋" w:hAnsi="仿宋" w:eastAsia="仿宋"/>
          <w:sz w:val="32"/>
          <w:szCs w:val="32"/>
          <w:lang w:val="en-US" w:eastAsia="zh-CN"/>
        </w:rPr>
        <w:t>21</w:t>
      </w:r>
      <w:r>
        <w:rPr>
          <w:rFonts w:hint="eastAsia" w:ascii="仿宋" w:hAnsi="仿宋" w:eastAsia="仿宋"/>
          <w:sz w:val="32"/>
          <w:szCs w:val="32"/>
        </w:rPr>
        <w:t>.基本支出：指为保障机构正常运转、完成日常工作任务而发生的人员支出和公用支出。</w:t>
      </w:r>
    </w:p>
    <w:p>
      <w:pPr>
        <w:spacing w:line="600" w:lineRule="exact"/>
        <w:ind w:firstLine="640" w:firstLineChars="200"/>
        <w:rPr>
          <w:rFonts w:ascii="仿宋" w:hAnsi="仿宋" w:eastAsia="仿宋"/>
          <w:sz w:val="32"/>
          <w:szCs w:val="32"/>
        </w:rPr>
      </w:pPr>
      <w:r>
        <w:rPr>
          <w:rFonts w:hint="eastAsia" w:ascii="仿宋" w:hAnsi="仿宋" w:eastAsia="仿宋"/>
          <w:sz w:val="32"/>
          <w:szCs w:val="32"/>
          <w:lang w:val="en-US" w:eastAsia="zh-CN"/>
        </w:rPr>
        <w:t>22</w:t>
      </w:r>
      <w:r>
        <w:rPr>
          <w:rFonts w:hint="eastAsia" w:ascii="仿宋" w:hAnsi="仿宋" w:eastAsia="仿宋"/>
          <w:sz w:val="32"/>
          <w:szCs w:val="32"/>
        </w:rPr>
        <w:t xml:space="preserve">.项目支出：指在基本支出之外为完成特定行政任务和事业发展目标所发生的支出。 </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2</w:t>
      </w:r>
      <w:r>
        <w:rPr>
          <w:rFonts w:hint="eastAsia" w:ascii="仿宋" w:hAnsi="仿宋" w:eastAsia="仿宋"/>
          <w:sz w:val="32"/>
          <w:szCs w:val="32"/>
          <w:lang w:val="en-US" w:eastAsia="zh-CN"/>
        </w:rPr>
        <w:t>3</w:t>
      </w:r>
      <w:r>
        <w:rPr>
          <w:rFonts w:hint="eastAsia" w:ascii="仿宋" w:hAnsi="仿宋" w:eastAsia="仿宋"/>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ind w:firstLine="2720" w:firstLineChars="850"/>
        <w:outlineLvl w:val="0"/>
        <w:rPr>
          <w:rStyle w:val="25"/>
          <w:rFonts w:ascii="黑体" w:hAnsi="黑体" w:eastAsia="黑体"/>
          <w:b w:val="0"/>
        </w:rPr>
      </w:pPr>
      <w:r>
        <w:rPr>
          <w:rFonts w:ascii="仿宋" w:hAnsi="仿宋" w:eastAsia="仿宋"/>
          <w:sz w:val="32"/>
          <w:szCs w:val="32"/>
        </w:rPr>
        <w:br w:type="page"/>
      </w:r>
      <w:bookmarkStart w:id="101" w:name="_Toc114325714"/>
      <w:bookmarkStart w:id="102" w:name="_Toc15396614"/>
      <w:bookmarkStart w:id="103" w:name="_Toc3859"/>
      <w:r>
        <w:rPr>
          <w:rFonts w:hint="eastAsia" w:ascii="黑体" w:hAnsi="黑体" w:eastAsia="黑体"/>
          <w:sz w:val="44"/>
          <w:szCs w:val="44"/>
        </w:rPr>
        <w:t>第</w:t>
      </w:r>
      <w:r>
        <w:rPr>
          <w:rStyle w:val="25"/>
          <w:rFonts w:hint="eastAsia" w:ascii="黑体" w:hAnsi="黑体" w:eastAsia="黑体"/>
          <w:b w:val="0"/>
        </w:rPr>
        <w:t>四部分 附件</w:t>
      </w:r>
      <w:bookmarkEnd w:id="101"/>
      <w:bookmarkEnd w:id="102"/>
      <w:bookmarkEnd w:id="103"/>
    </w:p>
    <w:p>
      <w:pPr>
        <w:spacing w:line="572" w:lineRule="exact"/>
        <w:jc w:val="left"/>
        <w:outlineLvl w:val="1"/>
        <w:rPr>
          <w:rFonts w:ascii="仿宋_GB2312" w:hAnsi="仿宋_GB2312" w:eastAsia="仿宋_GB2312" w:cs="仿宋_GB2312"/>
          <w:sz w:val="32"/>
          <w:szCs w:val="32"/>
        </w:rPr>
      </w:pPr>
      <w:bookmarkStart w:id="104" w:name="_Toc114325715"/>
      <w:bookmarkStart w:id="105" w:name="_Toc8684"/>
      <w:r>
        <w:rPr>
          <w:rFonts w:hint="eastAsia" w:ascii="黑体" w:hAnsi="黑体" w:eastAsia="黑体" w:cs="黑体"/>
          <w:sz w:val="32"/>
          <w:szCs w:val="32"/>
        </w:rPr>
        <w:t>附件</w:t>
      </w:r>
      <w:bookmarkEnd w:id="104"/>
      <w:bookmarkEnd w:id="105"/>
    </w:p>
    <w:tbl>
      <w:tblPr>
        <w:tblStyle w:val="13"/>
        <w:tblpPr w:leftFromText="180" w:rightFromText="180" w:vertAnchor="text" w:horzAnchor="page" w:tblpX="1281" w:tblpY="660"/>
        <w:tblOverlap w:val="never"/>
        <w:tblW w:w="9811" w:type="dxa"/>
        <w:tblInd w:w="0" w:type="dxa"/>
        <w:tblLayout w:type="fixed"/>
        <w:tblCellMar>
          <w:top w:w="0" w:type="dxa"/>
          <w:left w:w="108" w:type="dxa"/>
          <w:bottom w:w="0" w:type="dxa"/>
          <w:right w:w="108" w:type="dxa"/>
        </w:tblCellMar>
      </w:tblPr>
      <w:tblGrid>
        <w:gridCol w:w="1976"/>
        <w:gridCol w:w="1142"/>
        <w:gridCol w:w="1243"/>
        <w:gridCol w:w="392"/>
        <w:gridCol w:w="1189"/>
        <w:gridCol w:w="1224"/>
        <w:gridCol w:w="2409"/>
        <w:gridCol w:w="236"/>
      </w:tblGrid>
      <w:tr>
        <w:tblPrEx>
          <w:tblCellMar>
            <w:top w:w="0" w:type="dxa"/>
            <w:left w:w="108" w:type="dxa"/>
            <w:bottom w:w="0" w:type="dxa"/>
            <w:right w:w="108" w:type="dxa"/>
          </w:tblCellMar>
        </w:tblPrEx>
        <w:trPr>
          <w:trHeight w:val="675" w:hRule="atLeast"/>
        </w:trPr>
        <w:tc>
          <w:tcPr>
            <w:tcW w:w="9575" w:type="dxa"/>
            <w:gridSpan w:val="7"/>
            <w:tcBorders>
              <w:top w:val="nil"/>
              <w:left w:val="nil"/>
              <w:bottom w:val="nil"/>
              <w:right w:val="nil"/>
            </w:tcBorders>
            <w:shd w:val="clear" w:color="auto" w:fill="auto"/>
            <w:vAlign w:val="center"/>
          </w:tcPr>
          <w:p>
            <w:pPr>
              <w:widowControl/>
              <w:textAlignment w:val="center"/>
              <w:rPr>
                <w:rFonts w:ascii="宋体" w:hAnsi="宋体" w:cs="宋体"/>
                <w:b/>
                <w:sz w:val="32"/>
                <w:szCs w:val="32"/>
              </w:rPr>
            </w:pPr>
            <w:bookmarkStart w:id="106" w:name="_Toc15396618"/>
            <w:r>
              <w:rPr>
                <w:rFonts w:hint="eastAsia" w:ascii="宋体" w:hAnsi="宋体" w:cs="宋体"/>
                <w:b/>
                <w:sz w:val="32"/>
                <w:szCs w:val="32"/>
              </w:rPr>
              <w:t>2021年100万元以上（含）特定目标类部门预算项目绩效目标自评</w:t>
            </w:r>
          </w:p>
        </w:tc>
        <w:tc>
          <w:tcPr>
            <w:tcW w:w="236" w:type="dxa"/>
            <w:tcBorders>
              <w:top w:val="nil"/>
              <w:left w:val="nil"/>
              <w:bottom w:val="nil"/>
              <w:right w:val="nil"/>
            </w:tcBorders>
            <w:shd w:val="clear" w:color="auto" w:fill="auto"/>
            <w:vAlign w:val="center"/>
          </w:tcPr>
          <w:p>
            <w:pPr>
              <w:widowControl/>
              <w:jc w:val="center"/>
              <w:textAlignment w:val="center"/>
              <w:rPr>
                <w:rFonts w:ascii="宋体" w:hAnsi="宋体" w:cs="宋体"/>
                <w:b/>
                <w:kern w:val="0"/>
                <w:sz w:val="32"/>
                <w:szCs w:val="32"/>
              </w:rPr>
            </w:pPr>
          </w:p>
        </w:tc>
      </w:tr>
      <w:tr>
        <w:tblPrEx>
          <w:tblCellMar>
            <w:top w:w="0" w:type="dxa"/>
            <w:left w:w="108" w:type="dxa"/>
            <w:bottom w:w="0" w:type="dxa"/>
            <w:right w:w="108" w:type="dxa"/>
          </w:tblCellMar>
        </w:tblPrEx>
        <w:trPr>
          <w:gridAfter w:val="1"/>
          <w:wAfter w:w="236" w:type="dxa"/>
          <w:trHeight w:val="254" w:hRule="atLeast"/>
        </w:trPr>
        <w:tc>
          <w:tcPr>
            <w:tcW w:w="31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主管部门及代码</w:t>
            </w:r>
          </w:p>
        </w:tc>
        <w:tc>
          <w:tcPr>
            <w:tcW w:w="28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宋体" w:hAnsi="宋体" w:cs="宋体"/>
                <w:sz w:val="24"/>
              </w:rPr>
            </w:pPr>
            <w:r>
              <w:rPr>
                <w:rFonts w:hint="eastAsia" w:ascii="宋体" w:hAnsi="宋体" w:cs="宋体"/>
                <w:sz w:val="24"/>
              </w:rPr>
              <w:t>内江市卫生健康委员会</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实施单位</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sz w:val="24"/>
              </w:rPr>
              <w:t>内江市疾病预防控制中心</w:t>
            </w:r>
          </w:p>
        </w:tc>
      </w:tr>
      <w:tr>
        <w:tblPrEx>
          <w:tblCellMar>
            <w:top w:w="0" w:type="dxa"/>
            <w:left w:w="108" w:type="dxa"/>
            <w:bottom w:w="0" w:type="dxa"/>
            <w:right w:w="108" w:type="dxa"/>
          </w:tblCellMar>
        </w:tblPrEx>
        <w:trPr>
          <w:gridAfter w:val="1"/>
          <w:wAfter w:w="236" w:type="dxa"/>
          <w:trHeight w:val="341" w:hRule="atLeast"/>
        </w:trPr>
        <w:tc>
          <w:tcPr>
            <w:tcW w:w="31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eastAsia="宋体" w:cs="宋体"/>
                <w:kern w:val="0"/>
                <w:sz w:val="24"/>
                <w:lang w:eastAsia="zh-CN"/>
              </w:rPr>
            </w:pPr>
            <w:r>
              <w:rPr>
                <w:rFonts w:hint="eastAsia" w:ascii="宋体" w:hAnsi="宋体" w:cs="宋体"/>
                <w:kern w:val="0"/>
                <w:sz w:val="24"/>
              </w:rPr>
              <w:t>项目预算</w:t>
            </w:r>
          </w:p>
          <w:p>
            <w:pPr>
              <w:widowControl/>
              <w:spacing w:line="320" w:lineRule="exact"/>
              <w:jc w:val="center"/>
              <w:textAlignment w:val="center"/>
              <w:rPr>
                <w:rFonts w:hint="eastAsia" w:ascii="宋体" w:hAnsi="宋体" w:eastAsia="宋体" w:cs="宋体"/>
                <w:kern w:val="0"/>
                <w:sz w:val="24"/>
                <w:lang w:eastAsia="zh-CN"/>
              </w:rPr>
            </w:pPr>
            <w:r>
              <w:rPr>
                <w:rFonts w:hint="eastAsia" w:ascii="宋体" w:hAnsi="宋体" w:cs="宋体"/>
                <w:kern w:val="0"/>
                <w:sz w:val="24"/>
              </w:rPr>
              <w:t>执行情况</w:t>
            </w:r>
          </w:p>
          <w:p>
            <w:pPr>
              <w:widowControl/>
              <w:spacing w:line="320" w:lineRule="exact"/>
              <w:jc w:val="center"/>
              <w:textAlignment w:val="center"/>
              <w:rPr>
                <w:rFonts w:ascii="宋体" w:hAnsi="宋体" w:cs="宋体"/>
                <w:sz w:val="24"/>
              </w:rPr>
            </w:pPr>
            <w:r>
              <w:rPr>
                <w:rFonts w:hint="eastAsia" w:ascii="宋体" w:hAnsi="宋体" w:cs="宋体"/>
                <w:kern w:val="0"/>
                <w:sz w:val="24"/>
              </w:rPr>
              <w:t>（万元）</w:t>
            </w:r>
          </w:p>
        </w:tc>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 xml:space="preserve"> 预算数：</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sz w:val="24"/>
              </w:rPr>
              <w:t>125</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 xml:space="preserve"> 执行数：</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right="480"/>
              <w:textAlignment w:val="center"/>
              <w:rPr>
                <w:rFonts w:ascii="宋体" w:hAnsi="宋体" w:cs="宋体"/>
                <w:sz w:val="24"/>
              </w:rPr>
            </w:pPr>
            <w:r>
              <w:rPr>
                <w:rFonts w:hint="eastAsia" w:ascii="宋体" w:hAnsi="宋体" w:cs="宋体"/>
                <w:sz w:val="24"/>
              </w:rPr>
              <w:t>125</w:t>
            </w:r>
          </w:p>
        </w:tc>
      </w:tr>
      <w:tr>
        <w:tblPrEx>
          <w:tblCellMar>
            <w:top w:w="0" w:type="dxa"/>
            <w:left w:w="108" w:type="dxa"/>
            <w:bottom w:w="0" w:type="dxa"/>
            <w:right w:w="108" w:type="dxa"/>
          </w:tblCellMar>
        </w:tblPrEx>
        <w:trPr>
          <w:gridAfter w:val="1"/>
          <w:wAfter w:w="236" w:type="dxa"/>
          <w:trHeight w:val="555" w:hRule="atLeast"/>
        </w:trPr>
        <w:tc>
          <w:tcPr>
            <w:tcW w:w="31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其中：</w:t>
            </w:r>
          </w:p>
          <w:p>
            <w:pPr>
              <w:widowControl/>
              <w:spacing w:line="320" w:lineRule="exact"/>
              <w:jc w:val="left"/>
              <w:textAlignment w:val="center"/>
              <w:rPr>
                <w:rFonts w:ascii="宋体" w:hAnsi="宋体" w:cs="宋体"/>
                <w:sz w:val="24"/>
              </w:rPr>
            </w:pPr>
            <w:r>
              <w:rPr>
                <w:rFonts w:hint="eastAsia" w:ascii="宋体" w:hAnsi="宋体" w:cs="宋体"/>
                <w:kern w:val="0"/>
                <w:sz w:val="24"/>
              </w:rPr>
              <w:t>财政拨款</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sz w:val="24"/>
              </w:rPr>
              <w:t>125</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其中：</w:t>
            </w:r>
          </w:p>
          <w:p>
            <w:pPr>
              <w:widowControl/>
              <w:spacing w:line="320" w:lineRule="exact"/>
              <w:jc w:val="left"/>
              <w:textAlignment w:val="center"/>
              <w:rPr>
                <w:rFonts w:ascii="宋体" w:hAnsi="宋体" w:cs="宋体"/>
                <w:sz w:val="24"/>
              </w:rPr>
            </w:pPr>
            <w:r>
              <w:rPr>
                <w:rFonts w:hint="eastAsia" w:ascii="宋体" w:hAnsi="宋体" w:cs="宋体"/>
                <w:kern w:val="0"/>
                <w:sz w:val="24"/>
              </w:rPr>
              <w:t>财政拨款</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宋体" w:hAnsi="宋体" w:cs="宋体"/>
                <w:sz w:val="24"/>
              </w:rPr>
            </w:pPr>
            <w:r>
              <w:rPr>
                <w:rFonts w:hint="eastAsia" w:ascii="宋体" w:hAnsi="宋体" w:cs="宋体"/>
                <w:sz w:val="24"/>
              </w:rPr>
              <w:t>125</w:t>
            </w:r>
          </w:p>
        </w:tc>
      </w:tr>
      <w:tr>
        <w:tblPrEx>
          <w:tblCellMar>
            <w:top w:w="0" w:type="dxa"/>
            <w:left w:w="108" w:type="dxa"/>
            <w:bottom w:w="0" w:type="dxa"/>
            <w:right w:w="108" w:type="dxa"/>
          </w:tblCellMar>
        </w:tblPrEx>
        <w:trPr>
          <w:gridAfter w:val="1"/>
          <w:wAfter w:w="236" w:type="dxa"/>
          <w:trHeight w:val="341" w:hRule="atLeast"/>
        </w:trPr>
        <w:tc>
          <w:tcPr>
            <w:tcW w:w="31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其他资金</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p>
        </w:tc>
      </w:tr>
      <w:tr>
        <w:tblPrEx>
          <w:tblCellMar>
            <w:top w:w="0" w:type="dxa"/>
            <w:left w:w="108" w:type="dxa"/>
            <w:bottom w:w="0" w:type="dxa"/>
            <w:right w:w="108" w:type="dxa"/>
          </w:tblCellMar>
        </w:tblPrEx>
        <w:trPr>
          <w:gridAfter w:val="1"/>
          <w:wAfter w:w="236" w:type="dxa"/>
          <w:trHeight w:val="217" w:hRule="atLeast"/>
        </w:trPr>
        <w:tc>
          <w:tcPr>
            <w:tcW w:w="1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kern w:val="0"/>
                <w:sz w:val="24"/>
              </w:rPr>
            </w:pPr>
            <w:r>
              <w:rPr>
                <w:rFonts w:hint="eastAsia" w:ascii="宋体" w:hAnsi="宋体" w:cs="宋体"/>
                <w:kern w:val="0"/>
                <w:sz w:val="24"/>
              </w:rPr>
              <w:t>年度总体目标</w:t>
            </w:r>
          </w:p>
          <w:p>
            <w:pPr>
              <w:widowControl/>
              <w:spacing w:line="320" w:lineRule="exact"/>
              <w:jc w:val="center"/>
              <w:textAlignment w:val="center"/>
              <w:rPr>
                <w:rFonts w:ascii="宋体" w:hAnsi="宋体" w:cs="宋体"/>
                <w:sz w:val="24"/>
              </w:rPr>
            </w:pPr>
            <w:r>
              <w:rPr>
                <w:rFonts w:hint="eastAsia" w:ascii="宋体" w:hAnsi="宋体" w:cs="宋体"/>
                <w:kern w:val="0"/>
                <w:sz w:val="24"/>
              </w:rPr>
              <w:t>完成情况</w:t>
            </w:r>
          </w:p>
        </w:tc>
        <w:tc>
          <w:tcPr>
            <w:tcW w:w="39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预期目标</w:t>
            </w:r>
          </w:p>
        </w:tc>
        <w:tc>
          <w:tcPr>
            <w:tcW w:w="3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目标实际完成情况</w:t>
            </w:r>
          </w:p>
        </w:tc>
      </w:tr>
      <w:tr>
        <w:tblPrEx>
          <w:tblCellMar>
            <w:top w:w="0" w:type="dxa"/>
            <w:left w:w="108" w:type="dxa"/>
            <w:bottom w:w="0" w:type="dxa"/>
            <w:right w:w="108" w:type="dxa"/>
          </w:tblCellMar>
        </w:tblPrEx>
        <w:trPr>
          <w:gridAfter w:val="1"/>
          <w:wAfter w:w="236" w:type="dxa"/>
          <w:trHeight w:val="797" w:hRule="atLeast"/>
        </w:trPr>
        <w:tc>
          <w:tcPr>
            <w:tcW w:w="1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3966" w:type="dxa"/>
            <w:gridSpan w:val="4"/>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ascii="宋体" w:hAnsi="宋体" w:cs="宋体"/>
                <w:sz w:val="24"/>
              </w:rPr>
            </w:pPr>
            <w:r>
              <w:rPr>
                <w:rFonts w:hint="eastAsia" w:ascii="宋体" w:hAnsi="宋体" w:cs="宋体"/>
                <w:kern w:val="0"/>
                <w:sz w:val="18"/>
                <w:szCs w:val="18"/>
              </w:rPr>
              <w:t>全面完成《四川省遏制艾滋病传播实施方案( 2020-2022 年)》和省政府重点工作任务，城镇、农村居民知晓率达90%以上，高危人群、流动人口和青少年知晓率达90%以上。</w:t>
            </w:r>
          </w:p>
        </w:tc>
        <w:tc>
          <w:tcPr>
            <w:tcW w:w="3633"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ascii="宋体" w:hAnsi="宋体" w:cs="宋体"/>
                <w:sz w:val="24"/>
              </w:rPr>
            </w:pPr>
            <w:r>
              <w:rPr>
                <w:rFonts w:hint="eastAsia" w:ascii="宋体" w:hAnsi="宋体" w:cs="宋体"/>
                <w:kern w:val="0"/>
                <w:sz w:val="18"/>
                <w:szCs w:val="18"/>
              </w:rPr>
              <w:t>全面完成《四川省遏制艾滋病传播实施方案( 2020-2022 年)》和省政府重点工作任务，城镇、农村居民知晓率达90%以上，高危人群、流动人口和青少年知晓率达90%以上。</w:t>
            </w:r>
          </w:p>
        </w:tc>
      </w:tr>
      <w:tr>
        <w:tblPrEx>
          <w:tblCellMar>
            <w:top w:w="0" w:type="dxa"/>
            <w:left w:w="108" w:type="dxa"/>
            <w:bottom w:w="0" w:type="dxa"/>
            <w:right w:w="108" w:type="dxa"/>
          </w:tblCellMar>
        </w:tblPrEx>
        <w:trPr>
          <w:gridAfter w:val="1"/>
          <w:wAfter w:w="236" w:type="dxa"/>
          <w:trHeight w:val="693" w:hRule="atLeast"/>
        </w:trPr>
        <w:tc>
          <w:tcPr>
            <w:tcW w:w="1976"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一级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二级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5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三级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预期指标值</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实际完成指标值</w:t>
            </w:r>
          </w:p>
        </w:tc>
      </w:tr>
      <w:tr>
        <w:tblPrEx>
          <w:tblCellMar>
            <w:top w:w="0" w:type="dxa"/>
            <w:left w:w="108" w:type="dxa"/>
            <w:bottom w:w="0" w:type="dxa"/>
            <w:right w:w="108" w:type="dxa"/>
          </w:tblCellMar>
        </w:tblPrEx>
        <w:trPr>
          <w:gridAfter w:val="1"/>
          <w:wAfter w:w="236" w:type="dxa"/>
          <w:trHeight w:val="415"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firstLine="240" w:firstLineChars="100"/>
              <w:jc w:val="left"/>
              <w:textAlignment w:val="center"/>
              <w:rPr>
                <w:rFonts w:ascii="宋体" w:hAnsi="宋体" w:cs="宋体"/>
                <w:kern w:val="0"/>
                <w:sz w:val="24"/>
              </w:rPr>
            </w:pPr>
            <w:r>
              <w:rPr>
                <w:rFonts w:hint="eastAsia" w:ascii="宋体" w:hAnsi="宋体" w:cs="宋体"/>
                <w:kern w:val="0"/>
                <w:sz w:val="24"/>
              </w:rPr>
              <w:t>完成</w:t>
            </w:r>
          </w:p>
          <w:p>
            <w:pPr>
              <w:widowControl/>
              <w:spacing w:line="320" w:lineRule="exact"/>
              <w:ind w:firstLine="240" w:firstLineChars="100"/>
              <w:jc w:val="left"/>
              <w:textAlignment w:val="center"/>
              <w:rPr>
                <w:rFonts w:ascii="仿宋_GB2312" w:hAnsi="仿宋_GB2312" w:eastAsia="仿宋_GB2312" w:cs="仿宋_GB2312"/>
                <w:sz w:val="28"/>
                <w:szCs w:val="28"/>
              </w:rPr>
            </w:pPr>
            <w:r>
              <w:rPr>
                <w:rFonts w:hint="eastAsia" w:ascii="宋体" w:hAnsi="宋体" w:cs="宋体"/>
                <w:kern w:val="0"/>
                <w:sz w:val="24"/>
              </w:rPr>
              <w:t>指标</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宋体" w:hAnsi="宋体" w:cs="宋体"/>
                <w:kern w:val="0"/>
                <w:sz w:val="24"/>
              </w:rPr>
              <w:t>质量指标</w:t>
            </w:r>
          </w:p>
        </w:tc>
        <w:tc>
          <w:tcPr>
            <w:tcW w:w="158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textAlignment w:val="bottom"/>
              <w:rPr>
                <w:rFonts w:ascii="仿宋_GB2312" w:hAnsi="仿宋_GB2312" w:eastAsia="仿宋_GB2312" w:cs="仿宋_GB2312"/>
                <w:sz w:val="28"/>
                <w:szCs w:val="28"/>
              </w:rPr>
            </w:pPr>
            <w:r>
              <w:rPr>
                <w:rFonts w:hint="eastAsia" w:ascii="宋体" w:hAnsi="宋体" w:cs="宋体"/>
                <w:color w:val="000000"/>
                <w:kern w:val="0"/>
                <w:sz w:val="18"/>
                <w:szCs w:val="18"/>
              </w:rPr>
              <w:t>重点任务完成率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宋体" w:hAnsi="宋体" w:cs="宋体"/>
                <w:color w:val="000000"/>
                <w:kern w:val="0"/>
                <w:sz w:val="18"/>
                <w:szCs w:val="18"/>
              </w:rPr>
            </w:pPr>
            <w:r>
              <w:rPr>
                <w:rFonts w:hint="eastAsia" w:ascii="宋体" w:hAnsi="宋体" w:cs="宋体"/>
                <w:color w:val="000000"/>
                <w:kern w:val="0"/>
                <w:sz w:val="18"/>
                <w:szCs w:val="18"/>
              </w:rPr>
              <w:t>＝100%</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宋体" w:hAnsi="宋体" w:cs="宋体"/>
                <w:color w:val="000000"/>
                <w:kern w:val="0"/>
                <w:sz w:val="18"/>
                <w:szCs w:val="18"/>
              </w:rPr>
            </w:pPr>
            <w:r>
              <w:rPr>
                <w:rFonts w:hint="eastAsia" w:ascii="宋体" w:hAnsi="宋体" w:cs="宋体"/>
                <w:color w:val="000000"/>
                <w:kern w:val="0"/>
                <w:sz w:val="18"/>
                <w:szCs w:val="18"/>
              </w:rPr>
              <w:t>＝100%</w:t>
            </w:r>
          </w:p>
        </w:tc>
      </w:tr>
      <w:tr>
        <w:tblPrEx>
          <w:tblCellMar>
            <w:top w:w="0" w:type="dxa"/>
            <w:left w:w="108" w:type="dxa"/>
            <w:bottom w:w="0" w:type="dxa"/>
            <w:right w:w="108" w:type="dxa"/>
          </w:tblCellMar>
        </w:tblPrEx>
        <w:trPr>
          <w:gridAfter w:val="1"/>
          <w:wAfter w:w="236" w:type="dxa"/>
          <w:trHeight w:val="415"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243"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仿宋_GB2312" w:eastAsia="仿宋_GB2312" w:cs="仿宋_GB2312"/>
                <w:sz w:val="28"/>
                <w:szCs w:val="28"/>
              </w:rPr>
            </w:pPr>
            <w:r>
              <w:rPr>
                <w:rFonts w:hint="eastAsia" w:ascii="宋体" w:hAnsi="宋体" w:cs="宋体"/>
                <w:kern w:val="0"/>
                <w:sz w:val="24"/>
              </w:rPr>
              <w:t>数量指标</w:t>
            </w:r>
          </w:p>
        </w:tc>
        <w:tc>
          <w:tcPr>
            <w:tcW w:w="15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随访检测比率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240" w:lineRule="exact"/>
              <w:jc w:val="center"/>
              <w:rPr>
                <w:rFonts w:ascii="仿宋_GB2312" w:hAnsi="仿宋_GB2312" w:eastAsia="仿宋_GB2312" w:cs="仿宋_GB2312"/>
                <w:sz w:val="28"/>
                <w:szCs w:val="28"/>
              </w:rPr>
            </w:pPr>
            <w:r>
              <w:rPr>
                <w:rFonts w:hint="eastAsia" w:ascii="宋体" w:hAnsi="宋体" w:cs="宋体"/>
                <w:color w:val="000000"/>
                <w:kern w:val="0"/>
                <w:sz w:val="18"/>
                <w:szCs w:val="18"/>
              </w:rPr>
              <w:t>≥90%</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宋体" w:hAnsi="宋体" w:cs="宋体"/>
                <w:color w:val="000000"/>
                <w:kern w:val="0"/>
                <w:sz w:val="18"/>
                <w:szCs w:val="18"/>
              </w:rPr>
              <w:t>≥90%</w:t>
            </w:r>
          </w:p>
        </w:tc>
      </w:tr>
      <w:tr>
        <w:tblPrEx>
          <w:tblCellMar>
            <w:top w:w="0" w:type="dxa"/>
            <w:left w:w="108" w:type="dxa"/>
            <w:bottom w:w="0" w:type="dxa"/>
            <w:right w:w="108" w:type="dxa"/>
          </w:tblCellMar>
        </w:tblPrEx>
        <w:trPr>
          <w:gridAfter w:val="1"/>
          <w:wAfter w:w="236" w:type="dxa"/>
          <w:trHeight w:val="415"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243" w:type="dxa"/>
            <w:vMerge w:val="continue"/>
            <w:tcBorders>
              <w:left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kern w:val="0"/>
                <w:sz w:val="28"/>
                <w:szCs w:val="28"/>
              </w:rPr>
            </w:pPr>
          </w:p>
        </w:tc>
        <w:tc>
          <w:tcPr>
            <w:tcW w:w="15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配偶及性伴检测率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宋体" w:hAnsi="宋体" w:cs="宋体"/>
                <w:color w:val="000000"/>
                <w:kern w:val="0"/>
                <w:sz w:val="18"/>
                <w:szCs w:val="18"/>
              </w:rPr>
              <w:t>≥90%</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宋体" w:hAnsi="宋体" w:cs="宋体"/>
                <w:color w:val="000000"/>
                <w:kern w:val="0"/>
                <w:sz w:val="18"/>
                <w:szCs w:val="18"/>
              </w:rPr>
              <w:t>≥90%</w:t>
            </w:r>
          </w:p>
        </w:tc>
      </w:tr>
      <w:tr>
        <w:tblPrEx>
          <w:tblCellMar>
            <w:top w:w="0" w:type="dxa"/>
            <w:left w:w="108" w:type="dxa"/>
            <w:bottom w:w="0" w:type="dxa"/>
            <w:right w:w="108" w:type="dxa"/>
          </w:tblCellMar>
        </w:tblPrEx>
        <w:trPr>
          <w:gridAfter w:val="1"/>
          <w:wAfter w:w="236" w:type="dxa"/>
          <w:trHeight w:val="415"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243" w:type="dxa"/>
            <w:vMerge w:val="continue"/>
            <w:tcBorders>
              <w:left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kern w:val="0"/>
                <w:sz w:val="28"/>
                <w:szCs w:val="28"/>
              </w:rPr>
            </w:pPr>
          </w:p>
        </w:tc>
        <w:tc>
          <w:tcPr>
            <w:tcW w:w="15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病毒载量检测比例</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宋体" w:hAnsi="宋体" w:cs="宋体"/>
                <w:color w:val="000000"/>
                <w:kern w:val="0"/>
                <w:sz w:val="18"/>
                <w:szCs w:val="18"/>
              </w:rPr>
              <w:t>≥90%</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宋体" w:hAnsi="宋体" w:cs="宋体"/>
                <w:color w:val="000000"/>
                <w:kern w:val="0"/>
                <w:sz w:val="18"/>
                <w:szCs w:val="18"/>
              </w:rPr>
              <w:t>≥90%</w:t>
            </w:r>
          </w:p>
        </w:tc>
      </w:tr>
      <w:tr>
        <w:tblPrEx>
          <w:tblCellMar>
            <w:top w:w="0" w:type="dxa"/>
            <w:left w:w="108" w:type="dxa"/>
            <w:bottom w:w="0" w:type="dxa"/>
            <w:right w:w="108" w:type="dxa"/>
          </w:tblCellMar>
        </w:tblPrEx>
        <w:trPr>
          <w:gridAfter w:val="1"/>
          <w:wAfter w:w="236" w:type="dxa"/>
          <w:trHeight w:val="415"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243" w:type="dxa"/>
            <w:vMerge w:val="continue"/>
            <w:tcBorders>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kern w:val="0"/>
                <w:sz w:val="28"/>
                <w:szCs w:val="28"/>
              </w:rPr>
            </w:pPr>
          </w:p>
        </w:tc>
        <w:tc>
          <w:tcPr>
            <w:tcW w:w="15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戒毒药物维持治疗保持率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宋体" w:hAnsi="宋体" w:cs="宋体"/>
                <w:color w:val="000000"/>
                <w:kern w:val="0"/>
                <w:sz w:val="18"/>
                <w:szCs w:val="18"/>
              </w:rPr>
              <w:t>≥90%</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宋体" w:hAnsi="宋体" w:cs="宋体"/>
                <w:color w:val="000000"/>
                <w:kern w:val="0"/>
                <w:sz w:val="18"/>
                <w:szCs w:val="18"/>
              </w:rPr>
              <w:t>≥90%</w:t>
            </w:r>
          </w:p>
        </w:tc>
      </w:tr>
      <w:tr>
        <w:tblPrEx>
          <w:tblCellMar>
            <w:top w:w="0" w:type="dxa"/>
            <w:left w:w="108" w:type="dxa"/>
            <w:bottom w:w="0" w:type="dxa"/>
            <w:right w:w="108" w:type="dxa"/>
          </w:tblCellMar>
        </w:tblPrEx>
        <w:trPr>
          <w:gridAfter w:val="1"/>
          <w:wAfter w:w="236" w:type="dxa"/>
          <w:trHeight w:val="415"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left"/>
              <w:textAlignment w:val="center"/>
              <w:rPr>
                <w:rFonts w:ascii="宋体" w:hAnsi="宋体" w:cs="宋体"/>
                <w:kern w:val="0"/>
                <w:sz w:val="24"/>
              </w:rPr>
            </w:pPr>
            <w:r>
              <w:rPr>
                <w:rFonts w:hint="eastAsia" w:ascii="宋体" w:hAnsi="宋体" w:cs="宋体"/>
                <w:kern w:val="0"/>
                <w:sz w:val="24"/>
              </w:rPr>
              <w:t>时效指标</w:t>
            </w:r>
          </w:p>
        </w:tc>
        <w:tc>
          <w:tcPr>
            <w:tcW w:w="158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宋体" w:hAnsi="宋体" w:cs="宋体"/>
                <w:color w:val="000000"/>
                <w:kern w:val="0"/>
                <w:sz w:val="18"/>
                <w:szCs w:val="18"/>
              </w:rPr>
              <w:t>项目完成时间节点</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宋体" w:hAnsi="宋体" w:cs="宋体"/>
                <w:kern w:val="0"/>
                <w:sz w:val="18"/>
                <w:szCs w:val="18"/>
              </w:rPr>
              <w:t>2021年12月31日前</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宋体" w:hAnsi="宋体" w:cs="宋体"/>
                <w:kern w:val="0"/>
                <w:sz w:val="18"/>
                <w:szCs w:val="18"/>
              </w:rPr>
              <w:t>2021年12月31日前</w:t>
            </w:r>
          </w:p>
        </w:tc>
      </w:tr>
      <w:tr>
        <w:tblPrEx>
          <w:tblCellMar>
            <w:top w:w="0" w:type="dxa"/>
            <w:left w:w="108" w:type="dxa"/>
            <w:bottom w:w="0" w:type="dxa"/>
            <w:right w:w="108" w:type="dxa"/>
          </w:tblCellMar>
        </w:tblPrEx>
        <w:trPr>
          <w:gridAfter w:val="1"/>
          <w:wAfter w:w="236" w:type="dxa"/>
          <w:trHeight w:val="480"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left"/>
              <w:textAlignment w:val="center"/>
              <w:rPr>
                <w:rFonts w:ascii="宋体" w:hAnsi="宋体" w:cs="宋体"/>
                <w:kern w:val="0"/>
                <w:sz w:val="24"/>
              </w:rPr>
            </w:pPr>
            <w:r>
              <w:rPr>
                <w:rFonts w:hint="eastAsia" w:ascii="宋体" w:hAnsi="宋体" w:cs="宋体"/>
                <w:kern w:val="0"/>
                <w:sz w:val="24"/>
              </w:rPr>
              <w:t>成本指标</w:t>
            </w:r>
          </w:p>
        </w:tc>
        <w:tc>
          <w:tcPr>
            <w:tcW w:w="158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宋体" w:hAnsi="宋体" w:cs="宋体"/>
                <w:color w:val="000000"/>
                <w:kern w:val="0"/>
                <w:sz w:val="18"/>
                <w:szCs w:val="18"/>
              </w:rPr>
              <w:t>完成项目所需成本</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宋体" w:hAnsi="宋体" w:cs="宋体"/>
                <w:color w:val="000000"/>
                <w:kern w:val="0"/>
                <w:sz w:val="18"/>
                <w:szCs w:val="18"/>
              </w:rPr>
              <w:t>≤125万元</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宋体" w:hAnsi="宋体" w:cs="宋体"/>
                <w:color w:val="000000"/>
                <w:kern w:val="0"/>
                <w:sz w:val="18"/>
                <w:szCs w:val="18"/>
              </w:rPr>
              <w:t>≤125万元</w:t>
            </w:r>
          </w:p>
        </w:tc>
      </w:tr>
      <w:tr>
        <w:tblPrEx>
          <w:tblCellMar>
            <w:top w:w="0" w:type="dxa"/>
            <w:left w:w="108" w:type="dxa"/>
            <w:bottom w:w="0" w:type="dxa"/>
            <w:right w:w="108" w:type="dxa"/>
          </w:tblCellMar>
        </w:tblPrEx>
        <w:trPr>
          <w:gridAfter w:val="1"/>
          <w:wAfter w:w="236" w:type="dxa"/>
          <w:trHeight w:val="480"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left="239" w:leftChars="114"/>
              <w:jc w:val="left"/>
              <w:textAlignment w:val="center"/>
              <w:rPr>
                <w:rFonts w:hint="eastAsia" w:ascii="宋体" w:hAnsi="宋体" w:eastAsia="宋体" w:cs="宋体"/>
                <w:kern w:val="0"/>
                <w:sz w:val="24"/>
                <w:lang w:eastAsia="zh-CN"/>
              </w:rPr>
            </w:pPr>
            <w:r>
              <w:rPr>
                <w:rFonts w:hint="eastAsia" w:ascii="宋体" w:hAnsi="宋体" w:cs="宋体"/>
                <w:kern w:val="0"/>
                <w:sz w:val="24"/>
              </w:rPr>
              <w:t>效益</w:t>
            </w:r>
          </w:p>
          <w:p>
            <w:pPr>
              <w:widowControl/>
              <w:spacing w:line="320" w:lineRule="exact"/>
              <w:ind w:left="239" w:leftChars="114"/>
              <w:jc w:val="left"/>
              <w:textAlignment w:val="center"/>
              <w:rPr>
                <w:rFonts w:ascii="宋体" w:hAnsi="宋体" w:cs="宋体"/>
                <w:kern w:val="0"/>
                <w:sz w:val="24"/>
              </w:rPr>
            </w:pPr>
            <w:r>
              <w:rPr>
                <w:rFonts w:hint="eastAsia" w:ascii="宋体" w:hAnsi="宋体" w:cs="宋体"/>
                <w:kern w:val="0"/>
                <w:sz w:val="24"/>
              </w:rPr>
              <w:t>指标</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left"/>
              <w:textAlignment w:val="center"/>
              <w:rPr>
                <w:rFonts w:ascii="宋体" w:hAnsi="宋体" w:cs="宋体"/>
                <w:kern w:val="0"/>
                <w:sz w:val="24"/>
              </w:rPr>
            </w:pPr>
            <w:r>
              <w:rPr>
                <w:rFonts w:hint="eastAsia" w:ascii="宋体" w:hAnsi="宋体" w:cs="宋体"/>
                <w:kern w:val="0"/>
                <w:sz w:val="24"/>
              </w:rPr>
              <w:t>社会效益  指标</w:t>
            </w:r>
          </w:p>
        </w:tc>
        <w:tc>
          <w:tcPr>
            <w:tcW w:w="158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宋体" w:hAnsi="宋体" w:cs="宋体"/>
                <w:color w:val="000000"/>
                <w:kern w:val="0"/>
                <w:sz w:val="18"/>
                <w:szCs w:val="18"/>
              </w:rPr>
              <w:t>疾病预防控制效果</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提高传染病的预防及控制能力</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提高传染病的预防及控制能力</w:t>
            </w:r>
          </w:p>
        </w:tc>
      </w:tr>
      <w:tr>
        <w:tblPrEx>
          <w:tblCellMar>
            <w:top w:w="0" w:type="dxa"/>
            <w:left w:w="108" w:type="dxa"/>
            <w:bottom w:w="0" w:type="dxa"/>
            <w:right w:w="108" w:type="dxa"/>
          </w:tblCellMar>
        </w:tblPrEx>
        <w:trPr>
          <w:gridAfter w:val="1"/>
          <w:wAfter w:w="236" w:type="dxa"/>
          <w:trHeight w:val="530"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eastAsia="宋体" w:cs="宋体"/>
                <w:kern w:val="0"/>
                <w:sz w:val="24"/>
                <w:lang w:eastAsia="zh-CN"/>
              </w:rPr>
            </w:pPr>
            <w:r>
              <w:rPr>
                <w:rFonts w:hint="eastAsia" w:ascii="宋体" w:hAnsi="宋体" w:cs="宋体"/>
                <w:kern w:val="0"/>
                <w:sz w:val="24"/>
              </w:rPr>
              <w:t>满意</w:t>
            </w:r>
          </w:p>
          <w:p>
            <w:pPr>
              <w:widowControl/>
              <w:spacing w:line="320" w:lineRule="exact"/>
              <w:jc w:val="center"/>
              <w:textAlignment w:val="center"/>
              <w:rPr>
                <w:rFonts w:ascii="宋体" w:hAnsi="宋体" w:cs="宋体"/>
                <w:kern w:val="0"/>
                <w:sz w:val="24"/>
              </w:rPr>
            </w:pPr>
            <w:r>
              <w:rPr>
                <w:rFonts w:hint="eastAsia" w:ascii="宋体" w:hAnsi="宋体" w:cs="宋体"/>
                <w:kern w:val="0"/>
                <w:sz w:val="24"/>
              </w:rPr>
              <w:t>度指标</w:t>
            </w:r>
          </w:p>
        </w:tc>
        <w:tc>
          <w:tcPr>
            <w:tcW w:w="1243"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kern w:val="0"/>
                <w:sz w:val="24"/>
              </w:rPr>
            </w:pPr>
            <w:r>
              <w:rPr>
                <w:rFonts w:hint="eastAsia" w:ascii="宋体" w:hAnsi="宋体" w:cs="宋体"/>
                <w:kern w:val="0"/>
                <w:sz w:val="24"/>
              </w:rPr>
              <w:t>满意度指标</w:t>
            </w:r>
          </w:p>
        </w:tc>
        <w:tc>
          <w:tcPr>
            <w:tcW w:w="15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服务对象满意度</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240" w:lineRule="exact"/>
              <w:jc w:val="center"/>
              <w:rPr>
                <w:rFonts w:ascii="仿宋_GB2312" w:hAnsi="仿宋_GB2312" w:eastAsia="仿宋_GB2312" w:cs="仿宋_GB2312"/>
                <w:sz w:val="28"/>
                <w:szCs w:val="28"/>
              </w:rPr>
            </w:pPr>
            <w:r>
              <w:rPr>
                <w:rFonts w:hint="eastAsia" w:ascii="宋体" w:hAnsi="宋体" w:cs="宋体"/>
                <w:color w:val="000000"/>
                <w:kern w:val="0"/>
                <w:sz w:val="18"/>
                <w:szCs w:val="18"/>
              </w:rPr>
              <w:t>≥90%</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240" w:lineRule="exact"/>
              <w:jc w:val="center"/>
              <w:rPr>
                <w:rFonts w:ascii="仿宋_GB2312" w:hAnsi="仿宋_GB2312" w:eastAsia="仿宋_GB2312" w:cs="仿宋_GB2312"/>
                <w:sz w:val="28"/>
                <w:szCs w:val="28"/>
              </w:rPr>
            </w:pPr>
            <w:r>
              <w:rPr>
                <w:rFonts w:hint="eastAsia" w:ascii="宋体" w:hAnsi="宋体" w:cs="宋体"/>
                <w:color w:val="000000"/>
                <w:kern w:val="0"/>
                <w:sz w:val="18"/>
                <w:szCs w:val="18"/>
              </w:rPr>
              <w:t>≥90%</w:t>
            </w:r>
          </w:p>
        </w:tc>
      </w:tr>
      <w:tr>
        <w:tblPrEx>
          <w:tblCellMar>
            <w:top w:w="0" w:type="dxa"/>
            <w:left w:w="108" w:type="dxa"/>
            <w:bottom w:w="0" w:type="dxa"/>
            <w:right w:w="108" w:type="dxa"/>
          </w:tblCellMar>
        </w:tblPrEx>
        <w:trPr>
          <w:gridAfter w:val="1"/>
          <w:wAfter w:w="236" w:type="dxa"/>
          <w:trHeight w:val="530" w:hRule="atLeast"/>
        </w:trPr>
        <w:tc>
          <w:tcPr>
            <w:tcW w:w="1976" w:type="dxa"/>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left w:val="single" w:color="000000" w:sz="4" w:space="0"/>
              <w:bottom w:val="single" w:color="000000" w:sz="4" w:space="0"/>
              <w:right w:val="single" w:color="000000" w:sz="4" w:space="0"/>
            </w:tcBorders>
            <w:shd w:val="clear" w:color="auto" w:fill="auto"/>
            <w:vAlign w:val="bottom"/>
          </w:tcPr>
          <w:p>
            <w:pPr>
              <w:widowControl/>
              <w:spacing w:line="320" w:lineRule="exact"/>
              <w:ind w:firstLine="240" w:firstLineChars="100"/>
              <w:jc w:val="left"/>
              <w:textAlignment w:val="center"/>
              <w:rPr>
                <w:rFonts w:ascii="宋体" w:hAnsi="宋体" w:cs="宋体"/>
                <w:kern w:val="0"/>
                <w:sz w:val="24"/>
              </w:rPr>
            </w:pPr>
          </w:p>
        </w:tc>
        <w:tc>
          <w:tcPr>
            <w:tcW w:w="1243" w:type="dxa"/>
            <w:vMerge w:val="continue"/>
            <w:tcBorders>
              <w:left w:val="single" w:color="000000" w:sz="4" w:space="0"/>
              <w:bottom w:val="single" w:color="000000" w:sz="4" w:space="0"/>
              <w:right w:val="single" w:color="000000" w:sz="4" w:space="0"/>
            </w:tcBorders>
            <w:shd w:val="clear" w:color="auto" w:fill="auto"/>
            <w:vAlign w:val="bottom"/>
          </w:tcPr>
          <w:p>
            <w:pPr>
              <w:widowControl/>
              <w:spacing w:line="320" w:lineRule="exact"/>
              <w:jc w:val="left"/>
              <w:textAlignment w:val="center"/>
              <w:rPr>
                <w:rFonts w:ascii="宋体" w:hAnsi="宋体" w:cs="宋体"/>
                <w:kern w:val="0"/>
                <w:sz w:val="24"/>
              </w:rPr>
            </w:pPr>
          </w:p>
        </w:tc>
        <w:tc>
          <w:tcPr>
            <w:tcW w:w="15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项目主管部门满意度</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宋体" w:hAnsi="宋体" w:cs="宋体"/>
                <w:color w:val="000000"/>
                <w:kern w:val="0"/>
                <w:sz w:val="18"/>
                <w:szCs w:val="18"/>
              </w:rPr>
              <w:t>≥90%</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宋体" w:hAnsi="宋体" w:cs="宋体"/>
                <w:color w:val="000000"/>
                <w:kern w:val="0"/>
                <w:sz w:val="18"/>
                <w:szCs w:val="18"/>
              </w:rPr>
              <w:t>≥90%</w:t>
            </w:r>
          </w:p>
        </w:tc>
      </w:tr>
    </w:tbl>
    <w:p>
      <w:pPr>
        <w:spacing w:line="600" w:lineRule="exact"/>
        <w:outlineLvl w:val="9"/>
        <w:rPr>
          <w:rFonts w:ascii="黑体" w:hAnsi="黑体" w:eastAsia="黑体"/>
          <w:sz w:val="10"/>
          <w:szCs w:val="10"/>
        </w:rPr>
      </w:pPr>
    </w:p>
    <w:p>
      <w:pPr>
        <w:spacing w:line="600" w:lineRule="exact"/>
        <w:outlineLvl w:val="9"/>
        <w:rPr>
          <w:rFonts w:ascii="黑体" w:hAnsi="黑体" w:eastAsia="黑体"/>
          <w:sz w:val="44"/>
          <w:szCs w:val="44"/>
        </w:rPr>
      </w:pPr>
      <w:bookmarkStart w:id="107" w:name="_Toc114325716"/>
    </w:p>
    <w:p>
      <w:pPr>
        <w:pStyle w:val="11"/>
        <w:ind w:left="840" w:hanging="420"/>
      </w:pPr>
    </w:p>
    <w:p/>
    <w:p>
      <w:pPr>
        <w:spacing w:line="600" w:lineRule="exact"/>
        <w:jc w:val="center"/>
        <w:outlineLvl w:val="0"/>
        <w:rPr>
          <w:rFonts w:ascii="仿宋" w:hAnsi="仿宋" w:eastAsia="仿宋"/>
        </w:rPr>
      </w:pPr>
      <w:bookmarkStart w:id="108" w:name="_Toc15384"/>
      <w:r>
        <w:rPr>
          <w:rFonts w:hint="eastAsia" w:ascii="黑体" w:hAnsi="黑体" w:eastAsia="黑体"/>
          <w:sz w:val="44"/>
          <w:szCs w:val="44"/>
        </w:rPr>
        <w:t>第</w:t>
      </w:r>
      <w:r>
        <w:rPr>
          <w:rStyle w:val="25"/>
          <w:rFonts w:hint="eastAsia" w:ascii="黑体" w:hAnsi="黑体" w:eastAsia="黑体"/>
          <w:b w:val="0"/>
        </w:rPr>
        <w:t>五部分 附表</w:t>
      </w:r>
      <w:bookmarkEnd w:id="100"/>
      <w:bookmarkEnd w:id="106"/>
      <w:bookmarkEnd w:id="107"/>
      <w:bookmarkEnd w:id="108"/>
      <w:bookmarkStart w:id="109" w:name="_Toc15396619"/>
    </w:p>
    <w:p>
      <w:pPr>
        <w:pStyle w:val="4"/>
        <w:rPr>
          <w:rFonts w:ascii="仿宋" w:hAnsi="仿宋" w:eastAsia="仿宋"/>
        </w:rPr>
      </w:pPr>
      <w:bookmarkStart w:id="110" w:name="_Toc114325717"/>
      <w:bookmarkStart w:id="111" w:name="_Toc7833"/>
      <w:r>
        <w:rPr>
          <w:rFonts w:hint="eastAsia" w:ascii="仿宋" w:hAnsi="仿宋" w:eastAsia="仿宋"/>
          <w:b w:val="0"/>
        </w:rPr>
        <w:t>一、收</w:t>
      </w:r>
      <w:r>
        <w:rPr>
          <w:rStyle w:val="26"/>
          <w:rFonts w:hint="eastAsia" w:ascii="仿宋" w:hAnsi="仿宋" w:eastAsia="仿宋"/>
          <w:b w:val="0"/>
          <w:bCs w:val="0"/>
        </w:rPr>
        <w:t>入支出决算总表</w:t>
      </w:r>
      <w:bookmarkEnd w:id="109"/>
      <w:bookmarkEnd w:id="110"/>
      <w:bookmarkEnd w:id="111"/>
    </w:p>
    <w:p>
      <w:pPr>
        <w:pStyle w:val="4"/>
        <w:rPr>
          <w:rFonts w:ascii="仿宋" w:hAnsi="仿宋" w:eastAsia="仿宋"/>
        </w:rPr>
      </w:pPr>
      <w:bookmarkStart w:id="112" w:name="_Toc15396620"/>
      <w:bookmarkStart w:id="113" w:name="_Toc114325718"/>
      <w:bookmarkStart w:id="114" w:name="_Toc10355"/>
      <w:r>
        <w:rPr>
          <w:rFonts w:hint="eastAsia" w:ascii="仿宋" w:hAnsi="仿宋" w:eastAsia="仿宋"/>
          <w:b w:val="0"/>
        </w:rPr>
        <w:t>二、收</w:t>
      </w:r>
      <w:r>
        <w:rPr>
          <w:rStyle w:val="26"/>
          <w:rFonts w:hint="eastAsia" w:ascii="仿宋" w:hAnsi="仿宋" w:eastAsia="仿宋"/>
          <w:b w:val="0"/>
          <w:bCs w:val="0"/>
        </w:rPr>
        <w:t>入决算表</w:t>
      </w:r>
      <w:bookmarkEnd w:id="112"/>
      <w:bookmarkEnd w:id="113"/>
      <w:bookmarkEnd w:id="114"/>
    </w:p>
    <w:p>
      <w:pPr>
        <w:pStyle w:val="4"/>
        <w:rPr>
          <w:rFonts w:ascii="仿宋" w:hAnsi="仿宋" w:eastAsia="仿宋"/>
        </w:rPr>
      </w:pPr>
      <w:bookmarkStart w:id="115" w:name="_Toc15396621"/>
      <w:bookmarkStart w:id="116" w:name="_Toc114325719"/>
      <w:bookmarkStart w:id="117" w:name="_Toc27007"/>
      <w:r>
        <w:rPr>
          <w:rStyle w:val="26"/>
          <w:rFonts w:hint="eastAsia" w:ascii="仿宋" w:hAnsi="仿宋" w:eastAsia="仿宋"/>
          <w:b w:val="0"/>
          <w:bCs w:val="0"/>
        </w:rPr>
        <w:t>三、</w:t>
      </w:r>
      <w:r>
        <w:rPr>
          <w:rFonts w:hint="eastAsia" w:ascii="仿宋" w:hAnsi="仿宋" w:eastAsia="仿宋"/>
          <w:b w:val="0"/>
        </w:rPr>
        <w:t>支</w:t>
      </w:r>
      <w:r>
        <w:rPr>
          <w:rStyle w:val="26"/>
          <w:rFonts w:hint="eastAsia" w:ascii="仿宋" w:hAnsi="仿宋" w:eastAsia="仿宋"/>
          <w:b w:val="0"/>
          <w:bCs w:val="0"/>
        </w:rPr>
        <w:t>出决算表</w:t>
      </w:r>
      <w:bookmarkEnd w:id="115"/>
      <w:bookmarkEnd w:id="116"/>
      <w:bookmarkEnd w:id="117"/>
    </w:p>
    <w:p>
      <w:pPr>
        <w:pStyle w:val="4"/>
        <w:rPr>
          <w:rFonts w:ascii="仿宋" w:hAnsi="仿宋" w:eastAsia="仿宋"/>
          <w:b w:val="0"/>
        </w:rPr>
      </w:pPr>
      <w:bookmarkStart w:id="118" w:name="_Toc15396622"/>
      <w:bookmarkStart w:id="119" w:name="_Toc114325720"/>
      <w:bookmarkStart w:id="120" w:name="_Toc29313"/>
      <w:r>
        <w:rPr>
          <w:rStyle w:val="26"/>
          <w:rFonts w:hint="eastAsia" w:ascii="仿宋" w:hAnsi="仿宋" w:eastAsia="仿宋"/>
          <w:b w:val="0"/>
          <w:bCs w:val="0"/>
        </w:rPr>
        <w:t>四、</w:t>
      </w:r>
      <w:r>
        <w:rPr>
          <w:rFonts w:hint="eastAsia" w:ascii="仿宋" w:hAnsi="仿宋" w:eastAsia="仿宋"/>
          <w:b w:val="0"/>
        </w:rPr>
        <w:t>财</w:t>
      </w:r>
      <w:r>
        <w:rPr>
          <w:rStyle w:val="26"/>
          <w:rFonts w:hint="eastAsia" w:ascii="仿宋" w:hAnsi="仿宋" w:eastAsia="仿宋"/>
          <w:b w:val="0"/>
          <w:bCs w:val="0"/>
        </w:rPr>
        <w:t>政拨款收入支出决算总表</w:t>
      </w:r>
      <w:bookmarkEnd w:id="118"/>
      <w:bookmarkEnd w:id="119"/>
      <w:bookmarkEnd w:id="120"/>
    </w:p>
    <w:p>
      <w:pPr>
        <w:pStyle w:val="4"/>
        <w:rPr>
          <w:rStyle w:val="26"/>
          <w:rFonts w:ascii="仿宋" w:hAnsi="仿宋" w:eastAsia="仿宋"/>
          <w:b w:val="0"/>
          <w:bCs w:val="0"/>
        </w:rPr>
      </w:pPr>
      <w:bookmarkStart w:id="121" w:name="_Toc15396623"/>
      <w:bookmarkStart w:id="122" w:name="_Toc114325721"/>
      <w:bookmarkStart w:id="123" w:name="_Toc31549"/>
      <w:r>
        <w:rPr>
          <w:rStyle w:val="26"/>
          <w:rFonts w:hint="eastAsia" w:ascii="仿宋" w:hAnsi="仿宋" w:eastAsia="仿宋"/>
          <w:b w:val="0"/>
          <w:bCs w:val="0"/>
        </w:rPr>
        <w:t>五、</w:t>
      </w:r>
      <w:r>
        <w:rPr>
          <w:rFonts w:hint="eastAsia" w:ascii="仿宋" w:hAnsi="仿宋" w:eastAsia="仿宋"/>
          <w:b w:val="0"/>
        </w:rPr>
        <w:t>财</w:t>
      </w:r>
      <w:r>
        <w:rPr>
          <w:rStyle w:val="26"/>
          <w:rFonts w:hint="eastAsia" w:ascii="仿宋" w:hAnsi="仿宋" w:eastAsia="仿宋"/>
          <w:b w:val="0"/>
          <w:bCs w:val="0"/>
        </w:rPr>
        <w:t>政拨款支出决算明细表</w:t>
      </w:r>
      <w:bookmarkEnd w:id="121"/>
      <w:bookmarkEnd w:id="122"/>
      <w:bookmarkEnd w:id="123"/>
      <w:bookmarkStart w:id="124" w:name="_Toc15396624"/>
    </w:p>
    <w:p>
      <w:pPr>
        <w:pStyle w:val="4"/>
        <w:rPr>
          <w:rFonts w:ascii="仿宋" w:hAnsi="仿宋" w:eastAsia="仿宋"/>
        </w:rPr>
      </w:pPr>
      <w:bookmarkStart w:id="125" w:name="_Toc114325722"/>
      <w:bookmarkStart w:id="126" w:name="_Toc7473"/>
      <w:r>
        <w:rPr>
          <w:rStyle w:val="26"/>
          <w:rFonts w:hint="eastAsia" w:ascii="仿宋" w:hAnsi="仿宋" w:eastAsia="仿宋"/>
          <w:b w:val="0"/>
          <w:bCs w:val="0"/>
        </w:rPr>
        <w:t>六、</w:t>
      </w:r>
      <w:r>
        <w:rPr>
          <w:rFonts w:hint="eastAsia" w:ascii="仿宋" w:hAnsi="仿宋" w:eastAsia="仿宋"/>
          <w:b w:val="0"/>
        </w:rPr>
        <w:t>一</w:t>
      </w:r>
      <w:r>
        <w:rPr>
          <w:rStyle w:val="26"/>
          <w:rFonts w:hint="eastAsia" w:ascii="仿宋" w:hAnsi="仿宋" w:eastAsia="仿宋"/>
          <w:b w:val="0"/>
          <w:bCs w:val="0"/>
        </w:rPr>
        <w:t>般公共预算财政拨款支出决算表</w:t>
      </w:r>
      <w:bookmarkEnd w:id="124"/>
      <w:bookmarkEnd w:id="125"/>
      <w:bookmarkEnd w:id="126"/>
    </w:p>
    <w:p>
      <w:pPr>
        <w:pStyle w:val="4"/>
        <w:rPr>
          <w:rFonts w:ascii="仿宋" w:hAnsi="仿宋" w:eastAsia="仿宋"/>
        </w:rPr>
      </w:pPr>
      <w:bookmarkStart w:id="127" w:name="_Toc15396625"/>
      <w:bookmarkStart w:id="128" w:name="_Toc114325723"/>
      <w:bookmarkStart w:id="129" w:name="_Toc19601"/>
      <w:r>
        <w:rPr>
          <w:rStyle w:val="26"/>
          <w:rFonts w:hint="eastAsia" w:ascii="仿宋" w:hAnsi="仿宋" w:eastAsia="仿宋"/>
          <w:b w:val="0"/>
          <w:bCs w:val="0"/>
        </w:rPr>
        <w:t>七、</w:t>
      </w:r>
      <w:r>
        <w:rPr>
          <w:rFonts w:hint="eastAsia" w:ascii="仿宋" w:hAnsi="仿宋" w:eastAsia="仿宋"/>
          <w:b w:val="0"/>
        </w:rPr>
        <w:t>一</w:t>
      </w:r>
      <w:r>
        <w:rPr>
          <w:rStyle w:val="26"/>
          <w:rFonts w:hint="eastAsia" w:ascii="仿宋" w:hAnsi="仿宋" w:eastAsia="仿宋"/>
          <w:b w:val="0"/>
          <w:bCs w:val="0"/>
        </w:rPr>
        <w:t>般公共预算财政拨款支出决算明细表</w:t>
      </w:r>
      <w:bookmarkEnd w:id="127"/>
      <w:bookmarkEnd w:id="128"/>
      <w:bookmarkEnd w:id="129"/>
    </w:p>
    <w:p>
      <w:pPr>
        <w:pStyle w:val="4"/>
        <w:rPr>
          <w:rFonts w:ascii="仿宋" w:hAnsi="仿宋" w:eastAsia="仿宋"/>
        </w:rPr>
      </w:pPr>
      <w:bookmarkStart w:id="130" w:name="_Toc15396626"/>
      <w:bookmarkStart w:id="131" w:name="_Toc114325724"/>
      <w:bookmarkStart w:id="132" w:name="_Toc25003"/>
      <w:r>
        <w:rPr>
          <w:rStyle w:val="26"/>
          <w:rFonts w:hint="eastAsia" w:ascii="仿宋" w:hAnsi="仿宋" w:eastAsia="仿宋"/>
          <w:b w:val="0"/>
          <w:bCs w:val="0"/>
        </w:rPr>
        <w:t>八、</w:t>
      </w:r>
      <w:r>
        <w:rPr>
          <w:rFonts w:hint="eastAsia" w:ascii="仿宋" w:hAnsi="仿宋" w:eastAsia="仿宋"/>
          <w:b w:val="0"/>
        </w:rPr>
        <w:t>一</w:t>
      </w:r>
      <w:r>
        <w:rPr>
          <w:rStyle w:val="26"/>
          <w:rFonts w:hint="eastAsia" w:ascii="仿宋" w:hAnsi="仿宋" w:eastAsia="仿宋"/>
          <w:b w:val="0"/>
          <w:bCs w:val="0"/>
        </w:rPr>
        <w:t>般公共预算财政拨款基本支出决算表</w:t>
      </w:r>
      <w:bookmarkEnd w:id="130"/>
      <w:bookmarkEnd w:id="131"/>
      <w:bookmarkEnd w:id="132"/>
    </w:p>
    <w:p>
      <w:pPr>
        <w:pStyle w:val="4"/>
        <w:rPr>
          <w:rFonts w:ascii="仿宋" w:hAnsi="仿宋" w:eastAsia="仿宋"/>
        </w:rPr>
      </w:pPr>
      <w:bookmarkStart w:id="133" w:name="_Toc15396627"/>
      <w:bookmarkStart w:id="134" w:name="_Toc114325725"/>
      <w:bookmarkStart w:id="135" w:name="_Toc20441"/>
      <w:r>
        <w:rPr>
          <w:rStyle w:val="26"/>
          <w:rFonts w:hint="eastAsia" w:ascii="仿宋" w:hAnsi="仿宋" w:eastAsia="仿宋"/>
          <w:b w:val="0"/>
          <w:bCs w:val="0"/>
        </w:rPr>
        <w:t>九、</w:t>
      </w:r>
      <w:r>
        <w:rPr>
          <w:rFonts w:hint="eastAsia" w:ascii="仿宋" w:hAnsi="仿宋" w:eastAsia="仿宋"/>
          <w:b w:val="0"/>
        </w:rPr>
        <w:t>一</w:t>
      </w:r>
      <w:r>
        <w:rPr>
          <w:rStyle w:val="26"/>
          <w:rFonts w:hint="eastAsia" w:ascii="仿宋" w:hAnsi="仿宋" w:eastAsia="仿宋"/>
          <w:b w:val="0"/>
          <w:bCs w:val="0"/>
        </w:rPr>
        <w:t>般公共预算财政拨款项目支出决算表</w:t>
      </w:r>
      <w:bookmarkEnd w:id="133"/>
      <w:bookmarkEnd w:id="134"/>
      <w:bookmarkEnd w:id="135"/>
    </w:p>
    <w:p>
      <w:pPr>
        <w:pStyle w:val="4"/>
        <w:rPr>
          <w:rFonts w:ascii="仿宋" w:hAnsi="仿宋" w:eastAsia="仿宋"/>
        </w:rPr>
      </w:pPr>
      <w:bookmarkStart w:id="136" w:name="_Toc15396628"/>
      <w:bookmarkStart w:id="137" w:name="_Toc114325726"/>
      <w:bookmarkStart w:id="138" w:name="_Toc30540"/>
      <w:r>
        <w:rPr>
          <w:rStyle w:val="26"/>
          <w:rFonts w:hint="eastAsia" w:ascii="仿宋" w:hAnsi="仿宋" w:eastAsia="仿宋"/>
          <w:b w:val="0"/>
          <w:bCs w:val="0"/>
        </w:rPr>
        <w:t>十、</w:t>
      </w:r>
      <w:r>
        <w:rPr>
          <w:rFonts w:hint="eastAsia" w:ascii="仿宋" w:hAnsi="仿宋" w:eastAsia="仿宋"/>
          <w:b w:val="0"/>
        </w:rPr>
        <w:t>一</w:t>
      </w:r>
      <w:r>
        <w:rPr>
          <w:rStyle w:val="26"/>
          <w:rFonts w:hint="eastAsia" w:ascii="仿宋" w:hAnsi="仿宋" w:eastAsia="仿宋"/>
          <w:b w:val="0"/>
          <w:bCs w:val="0"/>
        </w:rPr>
        <w:t>般公共预算财政拨款“三公”经费支出决算表</w:t>
      </w:r>
      <w:bookmarkEnd w:id="136"/>
      <w:bookmarkEnd w:id="137"/>
      <w:bookmarkEnd w:id="138"/>
    </w:p>
    <w:p>
      <w:pPr>
        <w:pStyle w:val="4"/>
        <w:rPr>
          <w:rFonts w:ascii="仿宋" w:hAnsi="仿宋" w:eastAsia="仿宋"/>
        </w:rPr>
      </w:pPr>
      <w:bookmarkStart w:id="139" w:name="_Toc15396629"/>
      <w:bookmarkStart w:id="140" w:name="_Toc114325727"/>
      <w:bookmarkStart w:id="141" w:name="_Toc31660"/>
      <w:r>
        <w:rPr>
          <w:rStyle w:val="26"/>
          <w:rFonts w:hint="eastAsia" w:ascii="仿宋" w:hAnsi="仿宋" w:eastAsia="仿宋"/>
          <w:b w:val="0"/>
          <w:bCs w:val="0"/>
        </w:rPr>
        <w:t>十一、</w:t>
      </w:r>
      <w:r>
        <w:rPr>
          <w:rFonts w:hint="eastAsia" w:ascii="仿宋" w:hAnsi="仿宋" w:eastAsia="仿宋"/>
          <w:b w:val="0"/>
        </w:rPr>
        <w:t>政</w:t>
      </w:r>
      <w:r>
        <w:rPr>
          <w:rStyle w:val="26"/>
          <w:rFonts w:hint="eastAsia" w:ascii="仿宋" w:hAnsi="仿宋" w:eastAsia="仿宋"/>
          <w:b w:val="0"/>
          <w:bCs w:val="0"/>
        </w:rPr>
        <w:t>府性基金预算财政拨款收入支出决算表</w:t>
      </w:r>
      <w:bookmarkEnd w:id="139"/>
      <w:bookmarkEnd w:id="140"/>
      <w:bookmarkEnd w:id="141"/>
    </w:p>
    <w:p>
      <w:pPr>
        <w:pStyle w:val="4"/>
        <w:rPr>
          <w:rFonts w:ascii="仿宋" w:hAnsi="仿宋" w:eastAsia="仿宋"/>
        </w:rPr>
      </w:pPr>
      <w:bookmarkStart w:id="142" w:name="_Toc15396630"/>
      <w:bookmarkStart w:id="143" w:name="_Toc114325728"/>
      <w:bookmarkStart w:id="144" w:name="_Toc19532"/>
      <w:r>
        <w:rPr>
          <w:rStyle w:val="26"/>
          <w:rFonts w:hint="eastAsia" w:ascii="仿宋" w:hAnsi="仿宋" w:eastAsia="仿宋"/>
          <w:b w:val="0"/>
          <w:bCs w:val="0"/>
        </w:rPr>
        <w:t>十二、</w:t>
      </w:r>
      <w:r>
        <w:rPr>
          <w:rFonts w:hint="eastAsia" w:ascii="仿宋" w:hAnsi="仿宋" w:eastAsia="仿宋"/>
          <w:b w:val="0"/>
        </w:rPr>
        <w:t>政</w:t>
      </w:r>
      <w:r>
        <w:rPr>
          <w:rStyle w:val="26"/>
          <w:rFonts w:hint="eastAsia" w:ascii="仿宋" w:hAnsi="仿宋" w:eastAsia="仿宋"/>
          <w:b w:val="0"/>
          <w:bCs w:val="0"/>
        </w:rPr>
        <w:t>府性基金预算财政拨款“三公”经费支出决算表</w:t>
      </w:r>
      <w:bookmarkEnd w:id="142"/>
      <w:bookmarkEnd w:id="143"/>
      <w:bookmarkEnd w:id="144"/>
    </w:p>
    <w:p>
      <w:pPr>
        <w:pStyle w:val="4"/>
        <w:rPr>
          <w:rStyle w:val="26"/>
          <w:rFonts w:ascii="仿宋" w:hAnsi="仿宋" w:eastAsia="仿宋"/>
          <w:b w:val="0"/>
          <w:bCs w:val="0"/>
        </w:rPr>
      </w:pPr>
      <w:bookmarkStart w:id="145" w:name="_Toc15396631"/>
      <w:bookmarkStart w:id="146" w:name="_Toc114325729"/>
      <w:bookmarkStart w:id="147" w:name="_Toc5981"/>
      <w:r>
        <w:rPr>
          <w:rStyle w:val="26"/>
          <w:rFonts w:hint="eastAsia" w:ascii="仿宋" w:hAnsi="仿宋" w:eastAsia="仿宋"/>
          <w:b w:val="0"/>
          <w:bCs w:val="0"/>
        </w:rPr>
        <w:t>十三、</w:t>
      </w:r>
      <w:r>
        <w:rPr>
          <w:rFonts w:hint="eastAsia" w:ascii="仿宋" w:hAnsi="仿宋" w:eastAsia="仿宋"/>
          <w:b w:val="0"/>
        </w:rPr>
        <w:t>国</w:t>
      </w:r>
      <w:r>
        <w:rPr>
          <w:rStyle w:val="26"/>
          <w:rFonts w:hint="eastAsia" w:ascii="仿宋" w:hAnsi="仿宋" w:eastAsia="仿宋"/>
          <w:b w:val="0"/>
          <w:bCs w:val="0"/>
        </w:rPr>
        <w:t>有资本经营预算财政拨款收入支出决算表</w:t>
      </w:r>
      <w:bookmarkEnd w:id="145"/>
      <w:bookmarkEnd w:id="146"/>
      <w:bookmarkEnd w:id="147"/>
    </w:p>
    <w:p>
      <w:pPr>
        <w:rPr>
          <w:rFonts w:eastAsia="仿宋"/>
        </w:rPr>
      </w:pPr>
      <w:bookmarkStart w:id="148" w:name="_Toc114325730"/>
      <w:bookmarkStart w:id="149" w:name="_Toc15561"/>
      <w:r>
        <w:rPr>
          <w:rStyle w:val="26"/>
          <w:rFonts w:hint="eastAsia" w:ascii="仿宋" w:hAnsi="仿宋" w:eastAsia="仿宋"/>
          <w:b w:val="0"/>
          <w:bCs w:val="0"/>
        </w:rPr>
        <w:t>十四、国有资本经营预算财政拨款支出决算表</w:t>
      </w:r>
      <w:bookmarkEnd w:id="148"/>
      <w:bookmarkEnd w:id="149"/>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23</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g1Nzc3YTZmMDg0MGQ1Y2Y3NDA1Y2I3ZWRlZGNjZmUifQ=="/>
  </w:docVars>
  <w:rsids>
    <w:rsidRoot w:val="00F1361C"/>
    <w:rsid w:val="00012453"/>
    <w:rsid w:val="000222C6"/>
    <w:rsid w:val="0002549F"/>
    <w:rsid w:val="00034683"/>
    <w:rsid w:val="0004190C"/>
    <w:rsid w:val="000468DB"/>
    <w:rsid w:val="0006487A"/>
    <w:rsid w:val="00065F8F"/>
    <w:rsid w:val="00065FE4"/>
    <w:rsid w:val="00070A43"/>
    <w:rsid w:val="000768F2"/>
    <w:rsid w:val="0008101B"/>
    <w:rsid w:val="0009184B"/>
    <w:rsid w:val="0009371F"/>
    <w:rsid w:val="00094236"/>
    <w:rsid w:val="0009593C"/>
    <w:rsid w:val="00097322"/>
    <w:rsid w:val="000A6A92"/>
    <w:rsid w:val="000B047F"/>
    <w:rsid w:val="000B5923"/>
    <w:rsid w:val="000B5A48"/>
    <w:rsid w:val="000B6FF3"/>
    <w:rsid w:val="000C3467"/>
    <w:rsid w:val="000C3CA6"/>
    <w:rsid w:val="000C7C05"/>
    <w:rsid w:val="000D1267"/>
    <w:rsid w:val="000D1D50"/>
    <w:rsid w:val="000D5782"/>
    <w:rsid w:val="000E417C"/>
    <w:rsid w:val="000E6613"/>
    <w:rsid w:val="000E7119"/>
    <w:rsid w:val="000F2C78"/>
    <w:rsid w:val="0011222E"/>
    <w:rsid w:val="0011378C"/>
    <w:rsid w:val="00114E9B"/>
    <w:rsid w:val="00121349"/>
    <w:rsid w:val="00142216"/>
    <w:rsid w:val="00144D6A"/>
    <w:rsid w:val="0014729F"/>
    <w:rsid w:val="00157BAB"/>
    <w:rsid w:val="001654D1"/>
    <w:rsid w:val="00174518"/>
    <w:rsid w:val="0018106D"/>
    <w:rsid w:val="00186611"/>
    <w:rsid w:val="001877A7"/>
    <w:rsid w:val="00191536"/>
    <w:rsid w:val="00196687"/>
    <w:rsid w:val="001C0962"/>
    <w:rsid w:val="001D7531"/>
    <w:rsid w:val="001E737D"/>
    <w:rsid w:val="001F0592"/>
    <w:rsid w:val="001F7506"/>
    <w:rsid w:val="002006CD"/>
    <w:rsid w:val="002022B5"/>
    <w:rsid w:val="00202B36"/>
    <w:rsid w:val="00204B7A"/>
    <w:rsid w:val="00204CDE"/>
    <w:rsid w:val="0021101A"/>
    <w:rsid w:val="00220536"/>
    <w:rsid w:val="00221AE0"/>
    <w:rsid w:val="00222987"/>
    <w:rsid w:val="00235629"/>
    <w:rsid w:val="00260C38"/>
    <w:rsid w:val="002616C0"/>
    <w:rsid w:val="00265372"/>
    <w:rsid w:val="002662AA"/>
    <w:rsid w:val="0026673D"/>
    <w:rsid w:val="00280496"/>
    <w:rsid w:val="002835A4"/>
    <w:rsid w:val="00294DC9"/>
    <w:rsid w:val="00295495"/>
    <w:rsid w:val="002975B0"/>
    <w:rsid w:val="002A31DE"/>
    <w:rsid w:val="002B2613"/>
    <w:rsid w:val="002D6D05"/>
    <w:rsid w:val="002F1818"/>
    <w:rsid w:val="002F34F3"/>
    <w:rsid w:val="002F567B"/>
    <w:rsid w:val="00305417"/>
    <w:rsid w:val="003216A9"/>
    <w:rsid w:val="00335A74"/>
    <w:rsid w:val="00342FA2"/>
    <w:rsid w:val="0036561B"/>
    <w:rsid w:val="00367031"/>
    <w:rsid w:val="0037013F"/>
    <w:rsid w:val="0037721E"/>
    <w:rsid w:val="00380C92"/>
    <w:rsid w:val="003A0A08"/>
    <w:rsid w:val="003A31CB"/>
    <w:rsid w:val="003A484F"/>
    <w:rsid w:val="003A4883"/>
    <w:rsid w:val="003B0BE0"/>
    <w:rsid w:val="003B0C1B"/>
    <w:rsid w:val="003B688C"/>
    <w:rsid w:val="003C0291"/>
    <w:rsid w:val="003C03D8"/>
    <w:rsid w:val="003C39AE"/>
    <w:rsid w:val="003C7B60"/>
    <w:rsid w:val="003D0C0F"/>
    <w:rsid w:val="003D1FB2"/>
    <w:rsid w:val="003D66DA"/>
    <w:rsid w:val="003E1310"/>
    <w:rsid w:val="003E15CE"/>
    <w:rsid w:val="003E6F55"/>
    <w:rsid w:val="00401C0D"/>
    <w:rsid w:val="00406254"/>
    <w:rsid w:val="004143EB"/>
    <w:rsid w:val="00416682"/>
    <w:rsid w:val="004223DE"/>
    <w:rsid w:val="004248C0"/>
    <w:rsid w:val="00430642"/>
    <w:rsid w:val="00434489"/>
    <w:rsid w:val="00437085"/>
    <w:rsid w:val="00443880"/>
    <w:rsid w:val="004464F4"/>
    <w:rsid w:val="004473DF"/>
    <w:rsid w:val="00471401"/>
    <w:rsid w:val="00473F31"/>
    <w:rsid w:val="0048263A"/>
    <w:rsid w:val="00487E5D"/>
    <w:rsid w:val="004A1C9F"/>
    <w:rsid w:val="004A3CFA"/>
    <w:rsid w:val="004A711F"/>
    <w:rsid w:val="004B199D"/>
    <w:rsid w:val="004B4690"/>
    <w:rsid w:val="004C0130"/>
    <w:rsid w:val="004D11CA"/>
    <w:rsid w:val="004E0A2D"/>
    <w:rsid w:val="004E206B"/>
    <w:rsid w:val="004E6DF7"/>
    <w:rsid w:val="004F0FBD"/>
    <w:rsid w:val="005016CB"/>
    <w:rsid w:val="00505A47"/>
    <w:rsid w:val="00512FDA"/>
    <w:rsid w:val="00520DA0"/>
    <w:rsid w:val="005664BB"/>
    <w:rsid w:val="00566FFA"/>
    <w:rsid w:val="0057481D"/>
    <w:rsid w:val="0058486E"/>
    <w:rsid w:val="00585B33"/>
    <w:rsid w:val="0059014D"/>
    <w:rsid w:val="00590C3A"/>
    <w:rsid w:val="005A10D4"/>
    <w:rsid w:val="005B5C64"/>
    <w:rsid w:val="005C5337"/>
    <w:rsid w:val="005C6BD0"/>
    <w:rsid w:val="005D1C8B"/>
    <w:rsid w:val="005D468D"/>
    <w:rsid w:val="005D5CED"/>
    <w:rsid w:val="005E7228"/>
    <w:rsid w:val="005F1A4C"/>
    <w:rsid w:val="005F6A95"/>
    <w:rsid w:val="00605688"/>
    <w:rsid w:val="0060681F"/>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2BE9"/>
    <w:rsid w:val="006A3141"/>
    <w:rsid w:val="006A5E34"/>
    <w:rsid w:val="006B2422"/>
    <w:rsid w:val="006B2B9A"/>
    <w:rsid w:val="006C1937"/>
    <w:rsid w:val="006E5871"/>
    <w:rsid w:val="006F020C"/>
    <w:rsid w:val="007127B7"/>
    <w:rsid w:val="0071798E"/>
    <w:rsid w:val="007416B6"/>
    <w:rsid w:val="00746F48"/>
    <w:rsid w:val="0075404D"/>
    <w:rsid w:val="0076182A"/>
    <w:rsid w:val="00767B7E"/>
    <w:rsid w:val="007747F4"/>
    <w:rsid w:val="007770C3"/>
    <w:rsid w:val="00777CEA"/>
    <w:rsid w:val="007848CC"/>
    <w:rsid w:val="00784D24"/>
    <w:rsid w:val="00785FBA"/>
    <w:rsid w:val="00786E4A"/>
    <w:rsid w:val="007875EB"/>
    <w:rsid w:val="0079426B"/>
    <w:rsid w:val="007953C5"/>
    <w:rsid w:val="007A130E"/>
    <w:rsid w:val="007D1682"/>
    <w:rsid w:val="007D312A"/>
    <w:rsid w:val="007D3F19"/>
    <w:rsid w:val="007E23B0"/>
    <w:rsid w:val="007E23E5"/>
    <w:rsid w:val="007E59D0"/>
    <w:rsid w:val="007F1991"/>
    <w:rsid w:val="007F2C2F"/>
    <w:rsid w:val="007F4C78"/>
    <w:rsid w:val="007F55FC"/>
    <w:rsid w:val="007F5665"/>
    <w:rsid w:val="00800112"/>
    <w:rsid w:val="00813025"/>
    <w:rsid w:val="00813348"/>
    <w:rsid w:val="008253BB"/>
    <w:rsid w:val="00830900"/>
    <w:rsid w:val="0083706E"/>
    <w:rsid w:val="008408F6"/>
    <w:rsid w:val="008423A5"/>
    <w:rsid w:val="00850625"/>
    <w:rsid w:val="00853718"/>
    <w:rsid w:val="00855221"/>
    <w:rsid w:val="00855E50"/>
    <w:rsid w:val="00860645"/>
    <w:rsid w:val="00871F71"/>
    <w:rsid w:val="00872FD8"/>
    <w:rsid w:val="00885411"/>
    <w:rsid w:val="00885AF4"/>
    <w:rsid w:val="00891860"/>
    <w:rsid w:val="008939CD"/>
    <w:rsid w:val="008B768C"/>
    <w:rsid w:val="008C032F"/>
    <w:rsid w:val="008C4DB1"/>
    <w:rsid w:val="008C4EAF"/>
    <w:rsid w:val="008C5176"/>
    <w:rsid w:val="008C7FD0"/>
    <w:rsid w:val="008E027B"/>
    <w:rsid w:val="008E1DE7"/>
    <w:rsid w:val="008E4064"/>
    <w:rsid w:val="008E707C"/>
    <w:rsid w:val="00900B08"/>
    <w:rsid w:val="00902155"/>
    <w:rsid w:val="00902FA3"/>
    <w:rsid w:val="00923564"/>
    <w:rsid w:val="0092392E"/>
    <w:rsid w:val="009315F9"/>
    <w:rsid w:val="00933499"/>
    <w:rsid w:val="00935C98"/>
    <w:rsid w:val="00946945"/>
    <w:rsid w:val="00951248"/>
    <w:rsid w:val="0095152F"/>
    <w:rsid w:val="00951D5E"/>
    <w:rsid w:val="00954C49"/>
    <w:rsid w:val="00955E37"/>
    <w:rsid w:val="0097099F"/>
    <w:rsid w:val="00971959"/>
    <w:rsid w:val="00971997"/>
    <w:rsid w:val="00971FFC"/>
    <w:rsid w:val="00974BDD"/>
    <w:rsid w:val="0098660A"/>
    <w:rsid w:val="009931C3"/>
    <w:rsid w:val="009A7316"/>
    <w:rsid w:val="009B2C43"/>
    <w:rsid w:val="009B4EAE"/>
    <w:rsid w:val="009B7573"/>
    <w:rsid w:val="009C22F4"/>
    <w:rsid w:val="009C2A4B"/>
    <w:rsid w:val="009C2E98"/>
    <w:rsid w:val="009D3447"/>
    <w:rsid w:val="009D4711"/>
    <w:rsid w:val="009F1185"/>
    <w:rsid w:val="009F18CD"/>
    <w:rsid w:val="009F2A13"/>
    <w:rsid w:val="009F7527"/>
    <w:rsid w:val="00A01E55"/>
    <w:rsid w:val="00A04EB0"/>
    <w:rsid w:val="00A13CC1"/>
    <w:rsid w:val="00A16847"/>
    <w:rsid w:val="00A237D8"/>
    <w:rsid w:val="00A2666F"/>
    <w:rsid w:val="00A268C4"/>
    <w:rsid w:val="00A307CD"/>
    <w:rsid w:val="00A331C8"/>
    <w:rsid w:val="00A40A00"/>
    <w:rsid w:val="00A4142F"/>
    <w:rsid w:val="00A422EB"/>
    <w:rsid w:val="00A45BB7"/>
    <w:rsid w:val="00A4767A"/>
    <w:rsid w:val="00A56DF2"/>
    <w:rsid w:val="00A56E6E"/>
    <w:rsid w:val="00A67AB5"/>
    <w:rsid w:val="00A733B2"/>
    <w:rsid w:val="00A741C2"/>
    <w:rsid w:val="00A91760"/>
    <w:rsid w:val="00A93B00"/>
    <w:rsid w:val="00A93C21"/>
    <w:rsid w:val="00A959E1"/>
    <w:rsid w:val="00AB64C9"/>
    <w:rsid w:val="00AC3C6A"/>
    <w:rsid w:val="00AD5620"/>
    <w:rsid w:val="00AD656B"/>
    <w:rsid w:val="00AD74AC"/>
    <w:rsid w:val="00AD7C1B"/>
    <w:rsid w:val="00AE16BA"/>
    <w:rsid w:val="00AE1EBE"/>
    <w:rsid w:val="00B03C9D"/>
    <w:rsid w:val="00B060AE"/>
    <w:rsid w:val="00B10517"/>
    <w:rsid w:val="00B14E76"/>
    <w:rsid w:val="00B161B8"/>
    <w:rsid w:val="00B2048C"/>
    <w:rsid w:val="00B208B7"/>
    <w:rsid w:val="00B310B9"/>
    <w:rsid w:val="00B35F3F"/>
    <w:rsid w:val="00B36CBB"/>
    <w:rsid w:val="00B425E0"/>
    <w:rsid w:val="00B440AA"/>
    <w:rsid w:val="00B44B70"/>
    <w:rsid w:val="00B53C56"/>
    <w:rsid w:val="00B57DAF"/>
    <w:rsid w:val="00B62D4F"/>
    <w:rsid w:val="00B77EA6"/>
    <w:rsid w:val="00B81598"/>
    <w:rsid w:val="00B81678"/>
    <w:rsid w:val="00B81A90"/>
    <w:rsid w:val="00B841F1"/>
    <w:rsid w:val="00B944D6"/>
    <w:rsid w:val="00BB3392"/>
    <w:rsid w:val="00BB4DF0"/>
    <w:rsid w:val="00BC289F"/>
    <w:rsid w:val="00BC2D50"/>
    <w:rsid w:val="00BC5361"/>
    <w:rsid w:val="00BC5460"/>
    <w:rsid w:val="00BC6B50"/>
    <w:rsid w:val="00BD0E25"/>
    <w:rsid w:val="00BD64FE"/>
    <w:rsid w:val="00BF5BD6"/>
    <w:rsid w:val="00C03E31"/>
    <w:rsid w:val="00C17FB7"/>
    <w:rsid w:val="00C33E72"/>
    <w:rsid w:val="00C354B2"/>
    <w:rsid w:val="00C35554"/>
    <w:rsid w:val="00C42709"/>
    <w:rsid w:val="00C533CC"/>
    <w:rsid w:val="00C5751C"/>
    <w:rsid w:val="00C61BFC"/>
    <w:rsid w:val="00C62B85"/>
    <w:rsid w:val="00C65438"/>
    <w:rsid w:val="00C726BB"/>
    <w:rsid w:val="00C76BF1"/>
    <w:rsid w:val="00C87FD8"/>
    <w:rsid w:val="00C91381"/>
    <w:rsid w:val="00C91CBB"/>
    <w:rsid w:val="00CB4E70"/>
    <w:rsid w:val="00CC09B6"/>
    <w:rsid w:val="00CC666F"/>
    <w:rsid w:val="00CD1E3F"/>
    <w:rsid w:val="00CE1125"/>
    <w:rsid w:val="00CE44F6"/>
    <w:rsid w:val="00CE49DA"/>
    <w:rsid w:val="00CE7B61"/>
    <w:rsid w:val="00D00095"/>
    <w:rsid w:val="00D114F0"/>
    <w:rsid w:val="00D20620"/>
    <w:rsid w:val="00D254F7"/>
    <w:rsid w:val="00D26091"/>
    <w:rsid w:val="00D2685C"/>
    <w:rsid w:val="00D34E7C"/>
    <w:rsid w:val="00D35489"/>
    <w:rsid w:val="00D36AFE"/>
    <w:rsid w:val="00D425D1"/>
    <w:rsid w:val="00D51276"/>
    <w:rsid w:val="00D7035F"/>
    <w:rsid w:val="00D7261A"/>
    <w:rsid w:val="00DA634F"/>
    <w:rsid w:val="00DA65AC"/>
    <w:rsid w:val="00DA743D"/>
    <w:rsid w:val="00DB1913"/>
    <w:rsid w:val="00DB325C"/>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C27AB"/>
    <w:rsid w:val="00ED1149"/>
    <w:rsid w:val="00ED11BB"/>
    <w:rsid w:val="00ED183F"/>
    <w:rsid w:val="00ED1B63"/>
    <w:rsid w:val="00ED2501"/>
    <w:rsid w:val="00ED3C1F"/>
    <w:rsid w:val="00ED4085"/>
    <w:rsid w:val="00ED420E"/>
    <w:rsid w:val="00ED6FBE"/>
    <w:rsid w:val="00EE0F0F"/>
    <w:rsid w:val="00EE2F57"/>
    <w:rsid w:val="00EF4C34"/>
    <w:rsid w:val="00EF77C6"/>
    <w:rsid w:val="00F02072"/>
    <w:rsid w:val="00F05438"/>
    <w:rsid w:val="00F1361C"/>
    <w:rsid w:val="00F156F0"/>
    <w:rsid w:val="00F160C7"/>
    <w:rsid w:val="00F2408F"/>
    <w:rsid w:val="00F240E9"/>
    <w:rsid w:val="00F36D8F"/>
    <w:rsid w:val="00F417B1"/>
    <w:rsid w:val="00F45853"/>
    <w:rsid w:val="00F602DF"/>
    <w:rsid w:val="00F74FF1"/>
    <w:rsid w:val="00F754A1"/>
    <w:rsid w:val="00F806ED"/>
    <w:rsid w:val="00F81FD9"/>
    <w:rsid w:val="00F841AA"/>
    <w:rsid w:val="00F84A94"/>
    <w:rsid w:val="00F87E96"/>
    <w:rsid w:val="00FA23E8"/>
    <w:rsid w:val="00FB684E"/>
    <w:rsid w:val="00FD3CC1"/>
    <w:rsid w:val="00FF1E02"/>
    <w:rsid w:val="00FF30B4"/>
    <w:rsid w:val="042C4A18"/>
    <w:rsid w:val="046130F4"/>
    <w:rsid w:val="04C9495C"/>
    <w:rsid w:val="05EA2E8A"/>
    <w:rsid w:val="08A96637"/>
    <w:rsid w:val="09CE6249"/>
    <w:rsid w:val="0A2032A3"/>
    <w:rsid w:val="0A2D5CD4"/>
    <w:rsid w:val="0ADA6ACC"/>
    <w:rsid w:val="0AF457E4"/>
    <w:rsid w:val="0B12527D"/>
    <w:rsid w:val="0B8A37D8"/>
    <w:rsid w:val="0C591F54"/>
    <w:rsid w:val="0D890116"/>
    <w:rsid w:val="0F726D85"/>
    <w:rsid w:val="10C055FF"/>
    <w:rsid w:val="118107EC"/>
    <w:rsid w:val="11DD6519"/>
    <w:rsid w:val="12046185"/>
    <w:rsid w:val="12776C5D"/>
    <w:rsid w:val="12A65A60"/>
    <w:rsid w:val="13EA46B5"/>
    <w:rsid w:val="142D29C1"/>
    <w:rsid w:val="158B7AE8"/>
    <w:rsid w:val="15EA6697"/>
    <w:rsid w:val="16BB723D"/>
    <w:rsid w:val="17C104AB"/>
    <w:rsid w:val="18015F3F"/>
    <w:rsid w:val="18BB7CEF"/>
    <w:rsid w:val="1BE8440E"/>
    <w:rsid w:val="1C60574F"/>
    <w:rsid w:val="1CB12A65"/>
    <w:rsid w:val="1CC17759"/>
    <w:rsid w:val="1D155CEE"/>
    <w:rsid w:val="1D890952"/>
    <w:rsid w:val="1EE66AA1"/>
    <w:rsid w:val="20F57F95"/>
    <w:rsid w:val="21826BC1"/>
    <w:rsid w:val="221E56E8"/>
    <w:rsid w:val="22E661DA"/>
    <w:rsid w:val="240371BF"/>
    <w:rsid w:val="25C741E6"/>
    <w:rsid w:val="27842671"/>
    <w:rsid w:val="28BC3EB3"/>
    <w:rsid w:val="29007B9C"/>
    <w:rsid w:val="290B4FBE"/>
    <w:rsid w:val="29FD04D3"/>
    <w:rsid w:val="2AA64209"/>
    <w:rsid w:val="2ABE7A3E"/>
    <w:rsid w:val="2B123A80"/>
    <w:rsid w:val="2B2F7E5C"/>
    <w:rsid w:val="2B750BA6"/>
    <w:rsid w:val="2B7F799F"/>
    <w:rsid w:val="2EFA178C"/>
    <w:rsid w:val="30B46D73"/>
    <w:rsid w:val="319F7F4E"/>
    <w:rsid w:val="31BD5F70"/>
    <w:rsid w:val="32852BFC"/>
    <w:rsid w:val="339626C7"/>
    <w:rsid w:val="34272D62"/>
    <w:rsid w:val="34B05663"/>
    <w:rsid w:val="35523BA7"/>
    <w:rsid w:val="359A7184"/>
    <w:rsid w:val="35D00DF7"/>
    <w:rsid w:val="363B4A32"/>
    <w:rsid w:val="36E42151"/>
    <w:rsid w:val="36EB585C"/>
    <w:rsid w:val="37F039D3"/>
    <w:rsid w:val="394D77FC"/>
    <w:rsid w:val="39AE70AB"/>
    <w:rsid w:val="3A0A5FC3"/>
    <w:rsid w:val="3BA5557E"/>
    <w:rsid w:val="3C0C0783"/>
    <w:rsid w:val="3D4D0EEA"/>
    <w:rsid w:val="3EDE5877"/>
    <w:rsid w:val="3F9F3A96"/>
    <w:rsid w:val="3FB26915"/>
    <w:rsid w:val="4022525D"/>
    <w:rsid w:val="40834F60"/>
    <w:rsid w:val="40ED1E23"/>
    <w:rsid w:val="493C27E9"/>
    <w:rsid w:val="496F39ED"/>
    <w:rsid w:val="49FF41D3"/>
    <w:rsid w:val="4B2E419E"/>
    <w:rsid w:val="4B6776B0"/>
    <w:rsid w:val="4BD20FCE"/>
    <w:rsid w:val="4BE068DB"/>
    <w:rsid w:val="4BF6002B"/>
    <w:rsid w:val="4BFB6C35"/>
    <w:rsid w:val="4CA002A5"/>
    <w:rsid w:val="4ECE2238"/>
    <w:rsid w:val="4EF01A29"/>
    <w:rsid w:val="4F683D2B"/>
    <w:rsid w:val="4FDC4C2E"/>
    <w:rsid w:val="50735214"/>
    <w:rsid w:val="518E1E3B"/>
    <w:rsid w:val="51C273F1"/>
    <w:rsid w:val="51DB4B86"/>
    <w:rsid w:val="521F6219"/>
    <w:rsid w:val="52A82A88"/>
    <w:rsid w:val="54AA0D3A"/>
    <w:rsid w:val="55333C3E"/>
    <w:rsid w:val="55A0213D"/>
    <w:rsid w:val="57FE158C"/>
    <w:rsid w:val="59A93BAB"/>
    <w:rsid w:val="5ACF55D8"/>
    <w:rsid w:val="5B41694B"/>
    <w:rsid w:val="5B776C16"/>
    <w:rsid w:val="5BE86A44"/>
    <w:rsid w:val="5C3E7FB9"/>
    <w:rsid w:val="5CB1789D"/>
    <w:rsid w:val="5F244677"/>
    <w:rsid w:val="60BC0397"/>
    <w:rsid w:val="61B84EE9"/>
    <w:rsid w:val="646518B3"/>
    <w:rsid w:val="64C623E6"/>
    <w:rsid w:val="64CA39A1"/>
    <w:rsid w:val="65337A00"/>
    <w:rsid w:val="663F4AC2"/>
    <w:rsid w:val="67FA4A20"/>
    <w:rsid w:val="68347A1D"/>
    <w:rsid w:val="69596F2F"/>
    <w:rsid w:val="6A0A597F"/>
    <w:rsid w:val="6A2A3C5B"/>
    <w:rsid w:val="6A3A6264"/>
    <w:rsid w:val="6C4A05C8"/>
    <w:rsid w:val="6E2E4098"/>
    <w:rsid w:val="6E9005CF"/>
    <w:rsid w:val="6F0D7767"/>
    <w:rsid w:val="704020FA"/>
    <w:rsid w:val="71BE3C1E"/>
    <w:rsid w:val="72734D90"/>
    <w:rsid w:val="727B1B10"/>
    <w:rsid w:val="72F13B80"/>
    <w:rsid w:val="758D179F"/>
    <w:rsid w:val="762742E2"/>
    <w:rsid w:val="767B2F7C"/>
    <w:rsid w:val="768D6164"/>
    <w:rsid w:val="79E7B28D"/>
    <w:rsid w:val="7A3E36D0"/>
    <w:rsid w:val="7AB819C2"/>
    <w:rsid w:val="7B202D23"/>
    <w:rsid w:val="7B5A14D1"/>
    <w:rsid w:val="7CEC1640"/>
    <w:rsid w:val="7F9F20EE"/>
    <w:rsid w:val="9E3A10E2"/>
    <w:rsid w:val="F2E1F9D4"/>
    <w:rsid w:val="F788081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2"/>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8"/>
    <w:semiHidden/>
    <w:unhideWhenUsed/>
    <w:qFormat/>
    <w:uiPriority w:val="99"/>
    <w:rPr>
      <w:sz w:val="18"/>
      <w:szCs w:val="18"/>
    </w:rPr>
  </w:style>
  <w:style w:type="paragraph" w:styleId="8">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able of figures"/>
    <w:basedOn w:val="1"/>
    <w:next w:val="1"/>
    <w:qFormat/>
    <w:uiPriority w:val="99"/>
    <w:pPr>
      <w:ind w:left="200" w:leftChars="200" w:hanging="200" w:hangingChars="200"/>
    </w:pPr>
  </w:style>
  <w:style w:type="paragraph" w:styleId="12">
    <w:name w:val="toc 2"/>
    <w:basedOn w:val="1"/>
    <w:next w:val="1"/>
    <w:unhideWhenUsed/>
    <w:qFormat/>
    <w:uiPriority w:val="39"/>
    <w:pPr>
      <w:tabs>
        <w:tab w:val="right" w:leader="dot" w:pos="8296"/>
      </w:tabs>
      <w:ind w:left="420" w:leftChars="200"/>
    </w:p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rPr>
  </w:style>
  <w:style w:type="character" w:customStyle="1" w:styleId="17">
    <w:name w:val="Header Char"/>
    <w:basedOn w:val="14"/>
    <w:semiHidden/>
    <w:qFormat/>
    <w:uiPriority w:val="99"/>
    <w:rPr>
      <w:rFonts w:ascii="Times New Roman" w:hAnsi="Times New Roman"/>
      <w:sz w:val="18"/>
      <w:szCs w:val="18"/>
    </w:rPr>
  </w:style>
  <w:style w:type="character" w:customStyle="1" w:styleId="18">
    <w:name w:val="页眉 Char"/>
    <w:link w:val="9"/>
    <w:semiHidden/>
    <w:qFormat/>
    <w:locked/>
    <w:uiPriority w:val="99"/>
    <w:rPr>
      <w:sz w:val="18"/>
    </w:rPr>
  </w:style>
  <w:style w:type="character" w:customStyle="1" w:styleId="19">
    <w:name w:val="Footer Char"/>
    <w:basedOn w:val="14"/>
    <w:semiHidden/>
    <w:qFormat/>
    <w:uiPriority w:val="99"/>
    <w:rPr>
      <w:rFonts w:ascii="Times New Roman" w:hAnsi="Times New Roman"/>
      <w:sz w:val="18"/>
      <w:szCs w:val="18"/>
    </w:rPr>
  </w:style>
  <w:style w:type="character" w:customStyle="1" w:styleId="20">
    <w:name w:val="页脚 Char"/>
    <w:link w:val="8"/>
    <w:qFormat/>
    <w:locked/>
    <w:uiPriority w:val="99"/>
    <w:rPr>
      <w:sz w:val="18"/>
    </w:rPr>
  </w:style>
  <w:style w:type="character" w:customStyle="1" w:styleId="21">
    <w:name w:val="Body Text Char"/>
    <w:basedOn w:val="14"/>
    <w:semiHidden/>
    <w:qFormat/>
    <w:uiPriority w:val="99"/>
    <w:rPr>
      <w:rFonts w:ascii="Times New Roman" w:hAnsi="Times New Roman"/>
      <w:szCs w:val="24"/>
    </w:rPr>
  </w:style>
  <w:style w:type="character" w:customStyle="1" w:styleId="22">
    <w:name w:val="正文文本 Char"/>
    <w:link w:val="2"/>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Char"/>
    <w:basedOn w:val="14"/>
    <w:link w:val="3"/>
    <w:qFormat/>
    <w:uiPriority w:val="9"/>
    <w:rPr>
      <w:rFonts w:ascii="Times New Roman" w:hAnsi="Times New Roman"/>
      <w:b/>
      <w:bCs/>
      <w:kern w:val="44"/>
      <w:sz w:val="44"/>
      <w:szCs w:val="44"/>
    </w:rPr>
  </w:style>
  <w:style w:type="character" w:customStyle="1" w:styleId="26">
    <w:name w:val="标题 2 Char"/>
    <w:basedOn w:val="14"/>
    <w:link w:val="4"/>
    <w:qFormat/>
    <w:uiPriority w:val="9"/>
    <w:rPr>
      <w:rFonts w:asciiTheme="majorHAnsi" w:hAnsiTheme="majorHAnsi" w:eastAsiaTheme="majorEastAsia" w:cstheme="majorBidi"/>
      <w:b/>
      <w:bCs/>
      <w:kern w:val="2"/>
      <w:sz w:val="32"/>
      <w:szCs w:val="32"/>
    </w:rPr>
  </w:style>
  <w:style w:type="paragraph" w:customStyle="1" w:styleId="27">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8">
    <w:name w:val="批注框文本 Char"/>
    <w:basedOn w:val="14"/>
    <w:link w:val="7"/>
    <w:semiHidden/>
    <w:qFormat/>
    <w:uiPriority w:val="99"/>
    <w:rPr>
      <w:rFonts w:ascii="Times New Roman" w:hAnsi="Times New Roman"/>
      <w:kern w:val="2"/>
      <w:sz w:val="18"/>
      <w:szCs w:val="18"/>
    </w:rPr>
  </w:style>
  <w:style w:type="character" w:customStyle="1" w:styleId="29">
    <w:name w:val="标题 3 Char"/>
    <w:basedOn w:val="14"/>
    <w:link w:val="5"/>
    <w:qFormat/>
    <w:uiPriority w:val="9"/>
    <w:rPr>
      <w:rFonts w:ascii="Times New Roman" w:hAnsi="Times New Roman"/>
      <w:b/>
      <w:bCs/>
      <w:kern w:val="2"/>
      <w:sz w:val="32"/>
      <w:szCs w:val="32"/>
    </w:rPr>
  </w:style>
  <w:style w:type="paragraph" w:customStyle="1" w:styleId="30">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1">
    <w:name w:val="15"/>
    <w:basedOn w:val="14"/>
    <w:qFormat/>
    <w:uiPriority w:val="99"/>
    <w:rPr>
      <w:rFonts w:ascii="Times New Roman" w:hAnsi="Times New Roman" w:cs="Times New Roman"/>
    </w:rPr>
  </w:style>
  <w:style w:type="paragraph" w:customStyle="1" w:styleId="32">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3">
    <w:name w:val="WPSOffice手动目录 1"/>
    <w:uiPriority w:val="0"/>
    <w:pPr>
      <w:ind w:leftChars="0"/>
    </w:pPr>
    <w:rPr>
      <w:sz w:val="20"/>
      <w:szCs w:val="20"/>
    </w:rPr>
  </w:style>
  <w:style w:type="paragraph" w:customStyle="1" w:styleId="34">
    <w:name w:val="WPSOffice手动目录 2"/>
    <w:uiPriority w:val="0"/>
    <w:pPr>
      <w:ind w:leftChars="200"/>
    </w:pPr>
    <w:rPr>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1"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24037;&#20316;&#31807;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H:\&#24037;&#20316;&#31807;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H:\&#24037;&#20316;&#31807;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H:\&#24037;&#20316;&#31807;1.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Administrator\Desktop\&#24037;&#20316;&#31807;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[工作簿1]Sheet1!$A$2:$A$3</c:f>
              <c:strCache>
                <c:ptCount val="2"/>
                <c:pt idx="0">
                  <c:v>2020年</c:v>
                </c:pt>
                <c:pt idx="1">
                  <c:v>2021年</c:v>
                </c:pt>
              </c:strCache>
            </c:strRef>
          </c:cat>
          <c:val>
            <c:numRef>
              <c:f>[工作簿1]Sheet1!$B$2:$B$3</c:f>
              <c:numCache>
                <c:formatCode>General</c:formatCode>
                <c:ptCount val="2"/>
                <c:pt idx="0">
                  <c:v>13964.91</c:v>
                </c:pt>
                <c:pt idx="1">
                  <c:v>5806.95</c:v>
                </c:pt>
              </c:numCache>
            </c:numRef>
          </c:val>
        </c:ser>
        <c:dLbls>
          <c:showLegendKey val="0"/>
          <c:showVal val="1"/>
          <c:showCatName val="0"/>
          <c:showSerName val="0"/>
          <c:showPercent val="0"/>
          <c:showBubbleSize val="0"/>
        </c:dLbls>
        <c:gapWidth val="219"/>
        <c:overlap val="-27"/>
        <c:axId val="84208256"/>
        <c:axId val="94757248"/>
      </c:barChart>
      <c:catAx>
        <c:axId val="8420825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4757248"/>
        <c:crosses val="autoZero"/>
        <c:auto val="1"/>
        <c:lblAlgn val="ctr"/>
        <c:lblOffset val="100"/>
        <c:noMultiLvlLbl val="0"/>
      </c:catAx>
      <c:valAx>
        <c:axId val="947572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42082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t>一般公共预算财政拨款收入, 9</a:t>
                    </a:r>
                    <a:r>
                      <a:rPr lang="en-US" altLang="zh-CN"/>
                      <a:t>0.73%</a:t>
                    </a:r>
                    <a:endParaRPr lang="en-US" altLang="zh-CN"/>
                  </a:p>
                </c:rich>
              </c:tx>
              <c:dLblPos val="bestFit"/>
              <c:showLegendKey val="0"/>
              <c:showVal val="1"/>
              <c:showCatName val="1"/>
              <c:showSerName val="0"/>
              <c:showPercent val="1"/>
              <c:showBubbleSize val="0"/>
              <c:extLst>
                <c:ext xmlns:c15="http://schemas.microsoft.com/office/drawing/2012/chart" uri="{CE6537A1-D6FC-4f65-9D91-7224C49458BB}">
                  <c15:layout>
                    <c:manualLayout>
                      <c:w val="0.265277777777778"/>
                      <c:h val="0.113888888888889"/>
                    </c:manualLayout>
                  </c15:layout>
                </c:ext>
              </c:extLst>
            </c:dLbl>
            <c:dLbl>
              <c:idx val="1"/>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t>其他收入, </a:t>
                    </a:r>
                    <a:r>
                      <a:rPr lang="en-US" altLang="zh-CN"/>
                      <a:t>9.27</a:t>
                    </a:r>
                    <a:r>
                      <a:t>%</a:t>
                    </a:r>
                  </a:p>
                </c:rich>
              </c:tx>
              <c:dLblPos val="bestFit"/>
              <c:showLegendKey val="0"/>
              <c:showVal val="1"/>
              <c:showCatName val="1"/>
              <c:showSerName val="0"/>
              <c:showPercent val="1"/>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[工作簿1]Sheet1!$A$20:$A$21</c:f>
              <c:strCache>
                <c:ptCount val="2"/>
                <c:pt idx="0">
                  <c:v>一般公共预算财政拨款收入</c:v>
                </c:pt>
                <c:pt idx="1">
                  <c:v>其他收入</c:v>
                </c:pt>
              </c:strCache>
            </c:strRef>
          </c:cat>
          <c:val>
            <c:numRef>
              <c:f>[工作簿1]Sheet1!$B$20:$B$21</c:f>
              <c:numCache>
                <c:formatCode>General</c:formatCode>
                <c:ptCount val="2"/>
                <c:pt idx="0">
                  <c:v>3526.87</c:v>
                </c:pt>
                <c:pt idx="1">
                  <c:v>360.29</c:v>
                </c:pt>
              </c:numCache>
            </c:numRef>
          </c:val>
        </c:ser>
        <c:dLbls>
          <c:showLegendKey val="0"/>
          <c:showVal val="1"/>
          <c:showCatName val="0"/>
          <c:showSerName val="0"/>
          <c:showPercent val="0"/>
          <c:showBubbleSize val="0"/>
          <c:showLeaderLines val="1"/>
        </c:dLbls>
        <c:firstSliceAng val="0"/>
      </c:pieChart>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altLang="en-US"/>
                      <a:t>基本支出
4</a:t>
                    </a:r>
                    <a:r>
                      <a:rPr lang="en-US" altLang="en-US"/>
                      <a:t>7.52</a:t>
                    </a:r>
                    <a:r>
                      <a:rPr altLang="en-US"/>
                      <a:t>%</a:t>
                    </a:r>
                    <a:endParaRPr altLang="en-US"/>
                  </a:p>
                </c:rich>
              </c:tx>
              <c:dLblPos val="bestFit"/>
              <c:showLegendKey val="0"/>
              <c:showVal val="0"/>
              <c:showCatName val="1"/>
              <c:showSerName val="0"/>
              <c:showPercent val="1"/>
              <c:showBubbleSize val="0"/>
              <c:separator>
</c:separator>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altLang="en-US"/>
                      <a:t>项目支出
52</a:t>
                    </a:r>
                    <a:r>
                      <a:rPr lang="en-US" altLang="en-US"/>
                      <a:t>.</a:t>
                    </a:r>
                    <a:r>
                      <a:rPr lang="en-US" altLang="zh-CN"/>
                      <a:t>48</a:t>
                    </a:r>
                    <a:r>
                      <a:rPr altLang="en-US"/>
                      <a:t>%</a:t>
                    </a:r>
                    <a:endParaRPr altLang="en-US"/>
                  </a:p>
                </c:rich>
              </c:tx>
              <c:dLblPos val="bestFit"/>
              <c:showLegendKey val="0"/>
              <c:showVal val="0"/>
              <c:showCatName val="1"/>
              <c:showSerName val="0"/>
              <c:showPercent val="1"/>
              <c:showBubbleSize val="0"/>
              <c:separator>
</c:separator>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[工作簿1]Sheet1!$A$28:$A$29</c:f>
              <c:strCache>
                <c:ptCount val="2"/>
                <c:pt idx="0">
                  <c:v>基本支出</c:v>
                </c:pt>
                <c:pt idx="1">
                  <c:v>项目支出</c:v>
                </c:pt>
              </c:strCache>
            </c:strRef>
          </c:cat>
          <c:val>
            <c:numRef>
              <c:f>[工作簿1]Sheet1!$B$28:$B$29</c:f>
              <c:numCache>
                <c:formatCode>General</c:formatCode>
                <c:ptCount val="2"/>
                <c:pt idx="0">
                  <c:v>2637.82</c:v>
                </c:pt>
                <c:pt idx="1">
                  <c:v>2913.11</c:v>
                </c:pt>
              </c:numCache>
            </c:numRef>
          </c:val>
        </c:ser>
        <c:dLbls>
          <c:showLegendKey val="0"/>
          <c:showVal val="1"/>
          <c:showCatName val="0"/>
          <c:showSerName val="0"/>
          <c:showPercent val="0"/>
          <c:showBubbleSize val="0"/>
          <c:showLeaderLines val="1"/>
        </c:dLbls>
        <c:firstSliceAng val="0"/>
      </c:pieChart>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Sheet1!$A$47:$A$48</c:f>
              <c:strCache>
                <c:ptCount val="2"/>
                <c:pt idx="0">
                  <c:v>2020年</c:v>
                </c:pt>
                <c:pt idx="1">
                  <c:v>2021年</c:v>
                </c:pt>
              </c:strCache>
            </c:strRef>
          </c:cat>
          <c:val>
            <c:numRef>
              <c:f>Sheet1!$B$47:$B$48</c:f>
              <c:numCache>
                <c:formatCode>General</c:formatCode>
                <c:ptCount val="2"/>
                <c:pt idx="0">
                  <c:v>13613.06</c:v>
                </c:pt>
                <c:pt idx="1">
                  <c:v>5268.21</c:v>
                </c:pt>
              </c:numCache>
            </c:numRef>
          </c:val>
        </c:ser>
        <c:dLbls>
          <c:showLegendKey val="0"/>
          <c:showVal val="1"/>
          <c:showCatName val="0"/>
          <c:showSerName val="0"/>
          <c:showPercent val="0"/>
          <c:showBubbleSize val="0"/>
        </c:dLbls>
        <c:gapWidth val="75"/>
        <c:overlap val="40"/>
        <c:axId val="54976896"/>
        <c:axId val="54978432"/>
      </c:barChart>
      <c:catAx>
        <c:axId val="54976896"/>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54978432"/>
        <c:crosses val="autoZero"/>
        <c:auto val="1"/>
        <c:lblAlgn val="ctr"/>
        <c:lblOffset val="100"/>
        <c:noMultiLvlLbl val="0"/>
      </c:catAx>
      <c:valAx>
        <c:axId val="54978432"/>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54976896"/>
        <c:crosses val="autoZero"/>
        <c:crossBetween val="between"/>
      </c:valAx>
    </c:plotArea>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invertIfNegative val="0"/>
          <c:dLbls>
            <c:dLbl>
              <c:idx val="1"/>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4366.10</a:t>
                    </a:r>
                    <a:endParaRPr lang="en-US" altLang="en-US"/>
                  </a:p>
                </c:rich>
              </c:tx>
              <c:dLblPos val="in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Sheet1!$A$69:$A$70</c:f>
              <c:strCache>
                <c:ptCount val="2"/>
                <c:pt idx="0">
                  <c:v>2020年</c:v>
                </c:pt>
                <c:pt idx="1">
                  <c:v>2021年</c:v>
                </c:pt>
              </c:strCache>
            </c:strRef>
          </c:cat>
          <c:val>
            <c:numRef>
              <c:f>Sheet1!$B$69:$B$70</c:f>
              <c:numCache>
                <c:formatCode>General</c:formatCode>
                <c:ptCount val="2"/>
                <c:pt idx="0">
                  <c:v>5556.86</c:v>
                </c:pt>
                <c:pt idx="1">
                  <c:v>4366.1</c:v>
                </c:pt>
              </c:numCache>
            </c:numRef>
          </c:val>
        </c:ser>
        <c:dLbls>
          <c:showLegendKey val="0"/>
          <c:showVal val="1"/>
          <c:showCatName val="0"/>
          <c:showSerName val="0"/>
          <c:showPercent val="0"/>
          <c:showBubbleSize val="0"/>
        </c:dLbls>
        <c:gapWidth val="75"/>
        <c:overlap val="40"/>
        <c:axId val="97866112"/>
        <c:axId val="97867648"/>
      </c:barChart>
      <c:catAx>
        <c:axId val="97866112"/>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97867648"/>
        <c:crosses val="autoZero"/>
        <c:auto val="1"/>
        <c:lblAlgn val="ctr"/>
        <c:lblOffset val="100"/>
        <c:noMultiLvlLbl val="0"/>
      </c:catAx>
      <c:valAx>
        <c:axId val="97867648"/>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97866112"/>
        <c:crosses val="autoZero"/>
        <c:crossBetween val="between"/>
      </c:valAx>
    </c:plotArea>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dPt>
          <c:dPt>
            <c:idx val="1"/>
            <c:bubble3D val="0"/>
          </c:dPt>
          <c:dPt>
            <c:idx val="2"/>
            <c:bubble3D val="0"/>
          </c:dPt>
          <c:dPt>
            <c:idx val="3"/>
            <c:bubble3D val="0"/>
          </c:dPt>
          <c:dLbls>
            <c:dLbl>
              <c:idx val="0"/>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a:t>教育支出
</a:t>
                    </a:r>
                    <a:r>
                      <a:rPr lang="en-US" altLang="zh-CN"/>
                      <a:t>0.22%</a:t>
                    </a:r>
                    <a:endParaRPr lang="zh-CN" altLang="en-US"/>
                  </a:p>
                </c:rich>
              </c:tx>
              <c:dLblPos val="bestFit"/>
              <c:showLegendKey val="0"/>
              <c:showVal val="0"/>
              <c:showCatName val="1"/>
              <c:showSerName val="0"/>
              <c:showPercent val="1"/>
              <c:showBubbleSize val="0"/>
              <c:separator>
</c:separator>
              <c:extLst>
                <c:ext xmlns:c15="http://schemas.microsoft.com/office/drawing/2012/chart" uri="{CE6537A1-D6FC-4f65-9D91-7224C49458BB}"/>
              </c:extLst>
            </c:dLbl>
            <c:dLbl>
              <c:idx val="1"/>
              <c:layout>
                <c:manualLayout>
                  <c:x val="0.192648512685914"/>
                  <c:y val="0.0150462962962963"/>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a:t>社会保障和就业
</a:t>
                    </a:r>
                    <a:r>
                      <a:rPr lang="en-US" altLang="zh-CN"/>
                      <a:t>5.09%</a:t>
                    </a:r>
                    <a:endParaRPr lang="zh-CN" altLang="en-US"/>
                  </a:p>
                </c:rich>
              </c:tx>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2"/>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a:t>卫生健康支出
</a:t>
                    </a:r>
                    <a:r>
                      <a:rPr lang="en-US" altLang="zh-CN"/>
                      <a:t>91.43%</a:t>
                    </a:r>
                    <a:endParaRPr lang="zh-CN" altLang="en-US"/>
                  </a:p>
                </c:rich>
              </c:tx>
              <c:dLblPos val="bestFit"/>
              <c:showLegendKey val="0"/>
              <c:showVal val="0"/>
              <c:showCatName val="1"/>
              <c:showSerName val="0"/>
              <c:showPercent val="1"/>
              <c:showBubbleSize val="0"/>
              <c:separator>
</c:separator>
              <c:extLst>
                <c:ext xmlns:c15="http://schemas.microsoft.com/office/drawing/2012/chart" uri="{CE6537A1-D6FC-4f65-9D91-7224C49458BB}"/>
              </c:extLst>
            </c:dLbl>
            <c:dLbl>
              <c:idx val="3"/>
              <c:layout>
                <c:manualLayout>
                  <c:x val="-0.201804680664917"/>
                  <c:y val="0.0798611111111112"/>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a:t>住房保障支出
</a:t>
                    </a:r>
                    <a:r>
                      <a:rPr lang="en-US" altLang="zh-CN"/>
                      <a:t>3.26%</a:t>
                    </a:r>
                    <a:endParaRPr lang="en-US" altLang="zh-CN"/>
                  </a:p>
                </c:rich>
              </c:tx>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Sheet1!$A$87:$A$90</c:f>
              <c:strCache>
                <c:ptCount val="4"/>
                <c:pt idx="0">
                  <c:v>教育支出</c:v>
                </c:pt>
                <c:pt idx="1">
                  <c:v>社会保障和就业</c:v>
                </c:pt>
                <c:pt idx="2">
                  <c:v>卫生健康支出</c:v>
                </c:pt>
                <c:pt idx="3">
                  <c:v>住房保障支出</c:v>
                </c:pt>
              </c:strCache>
            </c:strRef>
          </c:cat>
          <c:val>
            <c:numRef>
              <c:f>Sheet1!$B$87:$B$90</c:f>
              <c:numCache>
                <c:formatCode>General</c:formatCode>
                <c:ptCount val="4"/>
                <c:pt idx="0">
                  <c:v>9.67</c:v>
                </c:pt>
                <c:pt idx="1">
                  <c:v>222.16</c:v>
                </c:pt>
                <c:pt idx="2">
                  <c:v>3991.92</c:v>
                </c:pt>
                <c:pt idx="3">
                  <c:v>142.35</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t>公务用车购置及运行维护费, </a:t>
                    </a:r>
                    <a:r>
                      <a:rPr lang="en-US" altLang="zh-CN"/>
                      <a:t>95.89</a:t>
                    </a:r>
                    <a:r>
                      <a:t>%</a:t>
                    </a:r>
                  </a:p>
                </c:rich>
              </c:tx>
              <c:dLblPos val="bestFit"/>
              <c:showLegendKey val="0"/>
              <c:showVal val="1"/>
              <c:showCatName val="1"/>
              <c:showSerName val="0"/>
              <c:showPercent val="1"/>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t>公务接待费, </a:t>
                    </a:r>
                    <a:r>
                      <a:rPr lang="en-US" altLang="zh-CN"/>
                      <a:t>4.11</a:t>
                    </a:r>
                    <a:r>
                      <a:t>%</a:t>
                    </a:r>
                  </a:p>
                </c:rich>
              </c:tx>
              <c:dLblPos val="bestFit"/>
              <c:showLegendKey val="0"/>
              <c:showVal val="1"/>
              <c:showCatName val="1"/>
              <c:showSerName val="0"/>
              <c:showPercent val="1"/>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[工作簿1.xlsx]Sheet1!$A$47:$A$48</c:f>
              <c:strCache>
                <c:ptCount val="2"/>
                <c:pt idx="0">
                  <c:v>公务用车购置及运行维护费</c:v>
                </c:pt>
                <c:pt idx="1">
                  <c:v>公务接待费</c:v>
                </c:pt>
              </c:strCache>
            </c:strRef>
          </c:cat>
          <c:val>
            <c:numRef>
              <c:f>[工作簿1.xlsx]Sheet1!$B$47:$B$48</c:f>
              <c:numCache>
                <c:formatCode>General</c:formatCode>
                <c:ptCount val="2"/>
                <c:pt idx="0">
                  <c:v>65.51</c:v>
                </c:pt>
                <c:pt idx="1">
                  <c:v>2.81</c:v>
                </c:pt>
              </c:numCache>
            </c:numRef>
          </c:val>
        </c:ser>
        <c:dLbls>
          <c:showLegendKey val="0"/>
          <c:showVal val="1"/>
          <c:showCatName val="0"/>
          <c:showSerName val="0"/>
          <c:showPercent val="0"/>
          <c:showBubbleSize val="0"/>
          <c:showLeaderLines val="1"/>
        </c:dLbls>
        <c:firstSliceAng val="0"/>
      </c:pieChart>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E6458C-9BD7-410A-BA73-2F5CA5DE2790}">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23</Pages>
  <Words>8633</Words>
  <Characters>9565</Characters>
  <Lines>26</Lines>
  <Paragraphs>21</Paragraphs>
  <TotalTime>6</TotalTime>
  <ScaleCrop>false</ScaleCrop>
  <LinksUpToDate>false</LinksUpToDate>
  <CharactersWithSpaces>13145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安叶雪</cp:lastModifiedBy>
  <cp:lastPrinted>2022-08-06T02:23:00Z</cp:lastPrinted>
  <dcterms:modified xsi:type="dcterms:W3CDTF">2022-10-18T02:36:37Z</dcterms:modified>
  <dc:title>四川省***</dc:title>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3298255FE8EB41D2BB360EB037F7D18E</vt:lpwstr>
  </property>
</Properties>
</file>